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18A0E">
      <w:pPr>
        <w:widowControl/>
        <w:jc w:val="center"/>
        <w:rPr>
          <w:rFonts w:ascii="Arial" w:hAnsi="Arial" w:cs="Arial"/>
          <w:kern w:val="0"/>
          <w:sz w:val="36"/>
          <w:szCs w:val="36"/>
        </w:rPr>
      </w:pPr>
      <w:r>
        <w:rPr>
          <w:rFonts w:hint="eastAsia" w:ascii="Arial" w:hAnsi="Arial" w:cs="Arial"/>
          <w:kern w:val="0"/>
          <w:sz w:val="36"/>
          <w:szCs w:val="36"/>
        </w:rPr>
        <w:t>竞买须知</w:t>
      </w:r>
    </w:p>
    <w:p w14:paraId="03347FEB">
      <w:pPr>
        <w:widowControl/>
        <w:spacing w:line="375" w:lineRule="atLeast"/>
        <w:jc w:val="left"/>
        <w:rPr>
          <w:rFonts w:hint="eastAsia" w:ascii="宋体" w:hAnsi="宋体" w:eastAsia="宋体" w:cs="宋体"/>
          <w:kern w:val="0"/>
          <w:sz w:val="28"/>
          <w:szCs w:val="28"/>
        </w:rPr>
      </w:pPr>
      <w:r>
        <w:rPr>
          <w:rFonts w:hint="eastAsia" w:ascii="宋体" w:hAnsi="宋体" w:eastAsia="宋体" w:cs="宋体"/>
          <w:kern w:val="0"/>
          <w:sz w:val="28"/>
          <w:szCs w:val="28"/>
        </w:rPr>
        <w:t>中国联合网络通信有限公司陕西省分公司定于20</w:t>
      </w:r>
      <w:r>
        <w:rPr>
          <w:rFonts w:hint="eastAsia" w:ascii="宋体" w:hAnsi="宋体" w:cs="宋体"/>
          <w:kern w:val="0"/>
          <w:sz w:val="28"/>
          <w:szCs w:val="28"/>
          <w:lang w:val="en-US" w:eastAsia="zh-CN"/>
        </w:rPr>
        <w:t>26</w:t>
      </w:r>
      <w:r>
        <w:rPr>
          <w:rFonts w:hint="eastAsia" w:ascii="宋体" w:hAnsi="宋体" w:eastAsia="宋体" w:cs="宋体"/>
          <w:kern w:val="0"/>
          <w:sz w:val="28"/>
          <w:szCs w:val="28"/>
        </w:rPr>
        <w:t>年</w:t>
      </w:r>
      <w:r>
        <w:rPr>
          <w:rFonts w:hint="eastAsia" w:ascii="宋体" w:hAnsi="宋体" w:cs="宋体"/>
          <w:kern w:val="0"/>
          <w:sz w:val="28"/>
          <w:szCs w:val="28"/>
          <w:lang w:val="en-US" w:eastAsia="zh-CN"/>
        </w:rPr>
        <w:t>7</w:t>
      </w:r>
      <w:r>
        <w:rPr>
          <w:rFonts w:hint="eastAsia" w:ascii="宋体" w:hAnsi="宋体" w:eastAsia="宋体" w:cs="宋体"/>
          <w:kern w:val="0"/>
          <w:sz w:val="28"/>
          <w:szCs w:val="28"/>
        </w:rPr>
        <w:t>月</w:t>
      </w:r>
      <w:r>
        <w:rPr>
          <w:rFonts w:hint="eastAsia" w:ascii="宋体" w:hAnsi="宋体" w:cs="宋体"/>
          <w:kern w:val="0"/>
          <w:sz w:val="28"/>
          <w:szCs w:val="28"/>
          <w:lang w:val="en-US" w:eastAsia="zh-CN"/>
        </w:rPr>
        <w:t>28</w:t>
      </w:r>
      <w:r>
        <w:rPr>
          <w:rFonts w:hint="eastAsia" w:ascii="宋体" w:hAnsi="宋体" w:eastAsia="宋体" w:cs="宋体"/>
          <w:kern w:val="0"/>
          <w:sz w:val="28"/>
          <w:szCs w:val="28"/>
        </w:rPr>
        <w:t>日</w:t>
      </w:r>
      <w:r>
        <w:rPr>
          <w:rFonts w:hint="eastAsia" w:ascii="宋体" w:hAnsi="宋体" w:cs="宋体"/>
          <w:kern w:val="0"/>
          <w:sz w:val="28"/>
          <w:szCs w:val="28"/>
          <w:lang w:val="en-US" w:eastAsia="zh-CN"/>
        </w:rPr>
        <w:t>15</w:t>
      </w:r>
      <w:r>
        <w:rPr>
          <w:rFonts w:hint="eastAsia" w:ascii="宋体" w:hAnsi="宋体" w:eastAsia="宋体" w:cs="宋体"/>
          <w:kern w:val="0"/>
          <w:sz w:val="28"/>
          <w:szCs w:val="28"/>
        </w:rPr>
        <w:t>时起至202</w:t>
      </w:r>
      <w:r>
        <w:rPr>
          <w:rFonts w:hint="eastAsia" w:ascii="宋体" w:hAnsi="宋体" w:cs="宋体"/>
          <w:kern w:val="0"/>
          <w:sz w:val="28"/>
          <w:szCs w:val="28"/>
          <w:lang w:val="en-US" w:eastAsia="zh-CN"/>
        </w:rPr>
        <w:t>6</w:t>
      </w:r>
      <w:r>
        <w:rPr>
          <w:rFonts w:hint="eastAsia" w:ascii="宋体" w:hAnsi="宋体" w:eastAsia="宋体" w:cs="宋体"/>
          <w:kern w:val="0"/>
          <w:sz w:val="28"/>
          <w:szCs w:val="28"/>
        </w:rPr>
        <w:t>年</w:t>
      </w:r>
      <w:r>
        <w:rPr>
          <w:rFonts w:hint="eastAsia" w:ascii="宋体" w:hAnsi="宋体" w:cs="宋体"/>
          <w:kern w:val="0"/>
          <w:sz w:val="28"/>
          <w:szCs w:val="28"/>
          <w:lang w:val="en-US" w:eastAsia="zh-CN"/>
        </w:rPr>
        <w:t>7</w:t>
      </w:r>
      <w:r>
        <w:rPr>
          <w:rFonts w:hint="eastAsia" w:ascii="宋体" w:hAnsi="宋体" w:eastAsia="宋体" w:cs="宋体"/>
          <w:kern w:val="0"/>
          <w:sz w:val="28"/>
          <w:szCs w:val="28"/>
        </w:rPr>
        <w:t>月</w:t>
      </w:r>
      <w:r>
        <w:rPr>
          <w:rFonts w:hint="eastAsia" w:ascii="宋体" w:hAnsi="宋体" w:cs="宋体"/>
          <w:kern w:val="0"/>
          <w:sz w:val="28"/>
          <w:szCs w:val="28"/>
          <w:lang w:val="en-US" w:eastAsia="zh-CN"/>
        </w:rPr>
        <w:t>29</w:t>
      </w:r>
      <w:r>
        <w:rPr>
          <w:rFonts w:hint="eastAsia" w:ascii="宋体" w:hAnsi="宋体" w:eastAsia="宋体" w:cs="宋体"/>
          <w:kern w:val="0"/>
          <w:sz w:val="28"/>
          <w:szCs w:val="28"/>
        </w:rPr>
        <w:t>日</w:t>
      </w:r>
      <w:r>
        <w:rPr>
          <w:rFonts w:hint="eastAsia" w:ascii="宋体" w:hAnsi="宋体" w:cs="宋体"/>
          <w:kern w:val="0"/>
          <w:sz w:val="28"/>
          <w:szCs w:val="28"/>
          <w:lang w:val="en-US" w:eastAsia="zh-CN"/>
        </w:rPr>
        <w:t>15</w:t>
      </w:r>
      <w:r>
        <w:rPr>
          <w:rFonts w:hint="eastAsia" w:ascii="宋体" w:hAnsi="宋体" w:eastAsia="宋体" w:cs="宋体"/>
          <w:kern w:val="0"/>
          <w:sz w:val="28"/>
          <w:szCs w:val="28"/>
        </w:rPr>
        <w:t>时止（延时除外）在江苏中博拍卖有限公司拍卖商城(网址：https://www.zbpmpt.com/，处置单位：中国联合网络通信有限公司陕西省分公司)对：</w:t>
      </w:r>
      <w:r>
        <w:rPr>
          <w:rFonts w:hint="eastAsia" w:ascii="宋体" w:hAnsi="宋体" w:eastAsia="宋体" w:cs="宋体"/>
          <w:kern w:val="0"/>
          <w:sz w:val="28"/>
          <w:szCs w:val="28"/>
          <w:u w:val="single"/>
        </w:rPr>
        <w:t>中国联通</w:t>
      </w:r>
      <w:r>
        <w:rPr>
          <w:rFonts w:hint="eastAsia" w:ascii="宋体" w:hAnsi="宋体" w:cs="宋体"/>
          <w:kern w:val="0"/>
          <w:sz w:val="28"/>
          <w:szCs w:val="28"/>
          <w:u w:val="single"/>
          <w:lang w:eastAsia="zh-CN"/>
        </w:rPr>
        <w:t>宝鸡</w:t>
      </w:r>
      <w:r>
        <w:rPr>
          <w:rFonts w:hint="eastAsia" w:ascii="宋体" w:hAnsi="宋体" w:eastAsia="宋体" w:cs="宋体"/>
          <w:kern w:val="0"/>
          <w:sz w:val="28"/>
          <w:szCs w:val="28"/>
          <w:u w:val="single"/>
        </w:rPr>
        <w:t>分公司</w:t>
      </w:r>
      <w:r>
        <w:rPr>
          <w:rFonts w:hint="eastAsia" w:ascii="宋体" w:hAnsi="宋体" w:cs="宋体"/>
          <w:kern w:val="0"/>
          <w:sz w:val="28"/>
          <w:szCs w:val="28"/>
          <w:u w:val="single"/>
          <w:lang w:val="en-US" w:eastAsia="zh-CN"/>
        </w:rPr>
        <w:t>2026年7月</w:t>
      </w:r>
      <w:r>
        <w:rPr>
          <w:rFonts w:hint="eastAsia" w:ascii="宋体" w:hAnsi="宋体" w:eastAsia="宋体" w:cs="宋体"/>
          <w:kern w:val="0"/>
          <w:sz w:val="28"/>
          <w:szCs w:val="28"/>
          <w:u w:val="single"/>
        </w:rPr>
        <w:t>报废</w:t>
      </w:r>
      <w:r>
        <w:rPr>
          <w:rFonts w:hint="eastAsia" w:ascii="宋体" w:hAnsi="宋体" w:eastAsia="宋体" w:cs="宋体"/>
          <w:kern w:val="0"/>
          <w:sz w:val="28"/>
          <w:szCs w:val="28"/>
          <w:u w:val="single"/>
          <w:lang w:val="en-US" w:eastAsia="zh-CN"/>
        </w:rPr>
        <w:t>通信</w:t>
      </w:r>
      <w:r>
        <w:rPr>
          <w:rFonts w:hint="eastAsia" w:ascii="宋体" w:hAnsi="宋体" w:cs="宋体"/>
          <w:kern w:val="0"/>
          <w:sz w:val="28"/>
          <w:szCs w:val="28"/>
          <w:u w:val="single"/>
          <w:lang w:val="en-US" w:eastAsia="zh-CN"/>
        </w:rPr>
        <w:t>综合</w:t>
      </w:r>
      <w:r>
        <w:rPr>
          <w:rFonts w:hint="eastAsia" w:ascii="宋体" w:hAnsi="宋体" w:eastAsia="宋体" w:cs="宋体"/>
          <w:kern w:val="0"/>
          <w:sz w:val="28"/>
          <w:szCs w:val="28"/>
          <w:u w:val="single"/>
          <w:lang w:val="en-US" w:eastAsia="zh-CN"/>
        </w:rPr>
        <w:t>设备</w:t>
      </w:r>
      <w:r>
        <w:rPr>
          <w:rFonts w:hint="eastAsia" w:ascii="宋体" w:hAnsi="宋体" w:eastAsia="宋体" w:cs="宋体"/>
          <w:kern w:val="0"/>
          <w:sz w:val="28"/>
          <w:szCs w:val="28"/>
          <w:u w:val="single"/>
        </w:rPr>
        <w:t>处置项目</w:t>
      </w:r>
      <w:r>
        <w:rPr>
          <w:rFonts w:hint="eastAsia" w:ascii="宋体" w:hAnsi="宋体" w:eastAsia="宋体" w:cs="宋体"/>
          <w:kern w:val="0"/>
          <w:sz w:val="28"/>
          <w:szCs w:val="28"/>
        </w:rPr>
        <w:t>进行公开竞价，现就有关的网上竞价事宜敬告各位竞买回收商：各竞买方在竞价前须详细阅读此《竞买须知》。竞买回收商应认真仔细阅读，了解本须知的全部内容。本次竞价活动遵循“公开、公平、公正、诚实守信”的原则，竞价活动具备法律效力。参加本次竞价活动的当事人和竞买当事人必须遵守本须知的各项条款，并对自己的行为承担法律责任。</w:t>
      </w:r>
    </w:p>
    <w:p w14:paraId="001706A3">
      <w:pPr>
        <w:widowControl/>
        <w:spacing w:line="375" w:lineRule="atLeast"/>
        <w:jc w:val="left"/>
        <w:rPr>
          <w:rFonts w:hint="eastAsia" w:ascii="宋体" w:hAnsi="宋体" w:eastAsia="宋体" w:cs="宋体"/>
          <w:kern w:val="0"/>
          <w:sz w:val="28"/>
          <w:szCs w:val="28"/>
        </w:rPr>
      </w:pPr>
      <w:r>
        <w:rPr>
          <w:rFonts w:hint="eastAsia" w:ascii="宋体" w:hAnsi="宋体" w:eastAsia="宋体" w:cs="宋体"/>
          <w:kern w:val="0"/>
          <w:sz w:val="28"/>
          <w:szCs w:val="28"/>
        </w:rPr>
        <w:t>1.本次竞价项目的转让方：中国联合网络通信有限公司陕西省分公司；</w:t>
      </w:r>
    </w:p>
    <w:p w14:paraId="65007133">
      <w:pPr>
        <w:widowControl/>
        <w:spacing w:line="375" w:lineRule="atLeast"/>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lang w:eastAsia="zh-CN"/>
        </w:rPr>
        <w:t>转让</w:t>
      </w:r>
      <w:r>
        <w:rPr>
          <w:rFonts w:hint="eastAsia" w:ascii="宋体" w:hAnsi="宋体" w:eastAsia="宋体" w:cs="宋体"/>
          <w:kern w:val="0"/>
          <w:sz w:val="28"/>
          <w:szCs w:val="28"/>
        </w:rPr>
        <w:t>标的物：报废通信综合设备2859件/米</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参考附件1：</w:t>
      </w:r>
      <w:r>
        <w:rPr>
          <w:rFonts w:hint="eastAsia" w:ascii="宋体" w:hAnsi="宋体" w:cs="宋体"/>
          <w:kern w:val="0"/>
          <w:sz w:val="28"/>
          <w:szCs w:val="28"/>
          <w:lang w:eastAsia="zh-CN"/>
        </w:rPr>
        <w:t>宝鸡</w:t>
      </w:r>
      <w:r>
        <w:rPr>
          <w:rFonts w:hint="eastAsia" w:ascii="宋体" w:hAnsi="宋体" w:eastAsia="宋体" w:cs="宋体"/>
          <w:kern w:val="0"/>
          <w:sz w:val="28"/>
          <w:szCs w:val="28"/>
        </w:rPr>
        <w:t>市分公司处置明细表。</w:t>
      </w:r>
    </w:p>
    <w:p w14:paraId="1D171D8B">
      <w:pPr>
        <w:numPr>
          <w:ilvl w:val="0"/>
          <w:numId w:val="0"/>
        </w:numPr>
        <w:spacing w:line="360" w:lineRule="auto"/>
        <w:rPr>
          <w:rFonts w:hint="eastAsia" w:ascii="宋体" w:hAnsi="宋体" w:eastAsia="宋体" w:cs="宋体"/>
          <w:kern w:val="0"/>
          <w:sz w:val="28"/>
          <w:szCs w:val="28"/>
        </w:rPr>
      </w:pPr>
      <w:r>
        <w:rPr>
          <w:rFonts w:hint="eastAsia" w:ascii="宋体" w:hAnsi="宋体" w:cs="宋体"/>
          <w:kern w:val="0"/>
          <w:sz w:val="28"/>
          <w:szCs w:val="28"/>
          <w:lang w:val="en-US" w:eastAsia="zh-CN"/>
        </w:rPr>
        <w:t>2.</w:t>
      </w:r>
      <w:r>
        <w:rPr>
          <w:rFonts w:hint="eastAsia" w:ascii="宋体" w:hAnsi="宋体" w:eastAsia="宋体" w:cs="宋体"/>
          <w:kern w:val="0"/>
          <w:sz w:val="28"/>
          <w:szCs w:val="28"/>
        </w:rPr>
        <w:t>交货</w:t>
      </w:r>
      <w:r>
        <w:rPr>
          <w:rFonts w:hint="eastAsia" w:ascii="宋体" w:hAnsi="宋体" w:eastAsia="宋体" w:cs="宋体"/>
          <w:kern w:val="0"/>
          <w:sz w:val="28"/>
          <w:szCs w:val="28"/>
          <w:lang w:val="en-US" w:eastAsia="zh-CN" w:bidi="ar-SA"/>
        </w:rPr>
        <w:t>地点：宝鸡市渭滨区高新大道182号西库U形办公区西隔壁</w:t>
      </w:r>
      <w:r>
        <w:rPr>
          <w:rFonts w:hint="eastAsia" w:ascii="宋体" w:hAnsi="宋体" w:eastAsia="宋体" w:cs="宋体"/>
          <w:kern w:val="0"/>
          <w:sz w:val="28"/>
          <w:szCs w:val="28"/>
        </w:rPr>
        <w:t>中标单位付款后即移交，标的物所有权归属中标单位，标的物保管及运输、保险等其它一切工作皆由中标单位全权负责。</w:t>
      </w:r>
    </w:p>
    <w:p w14:paraId="19E0F22E">
      <w:pPr>
        <w:widowControl/>
        <w:spacing w:line="375" w:lineRule="atLeast"/>
        <w:jc w:val="left"/>
        <w:rPr>
          <w:rFonts w:hint="eastAsia" w:ascii="宋体" w:hAnsi="宋体" w:eastAsia="宋体" w:cs="宋体"/>
          <w:kern w:val="0"/>
          <w:sz w:val="28"/>
          <w:szCs w:val="28"/>
        </w:rPr>
      </w:pPr>
      <w:r>
        <w:rPr>
          <w:rFonts w:hint="eastAsia" w:ascii="宋体" w:hAnsi="宋体" w:eastAsia="宋体" w:cs="宋体"/>
          <w:kern w:val="0"/>
          <w:sz w:val="28"/>
          <w:szCs w:val="28"/>
        </w:rPr>
        <w:t>3.竞价方式：本项目经所列报废资产总体作为一个标段，按照总价方式进行竞价。本次竞价活动设置延时出价功能，在竞价活动结束前，每最后5分钟如果有竞买回收商出价，就自动延时5分钟；</w:t>
      </w:r>
      <w:r>
        <w:rPr>
          <w:rFonts w:hint="eastAsia" w:ascii="宋体" w:hAnsi="宋体" w:eastAsia="宋体" w:cs="宋体"/>
          <w:kern w:val="0"/>
          <w:sz w:val="28"/>
          <w:szCs w:val="28"/>
        </w:rPr>
        <w:br w:type="textWrapping"/>
      </w:r>
      <w:r>
        <w:rPr>
          <w:rFonts w:hint="eastAsia" w:ascii="宋体" w:hAnsi="宋体" w:eastAsia="宋体" w:cs="宋体"/>
          <w:kern w:val="0"/>
          <w:sz w:val="28"/>
          <w:szCs w:val="28"/>
        </w:rPr>
        <w:t>4.竞价时间：</w:t>
      </w:r>
      <w:r>
        <w:rPr>
          <w:rFonts w:hint="eastAsia" w:ascii="宋体" w:hAnsi="宋体" w:eastAsia="宋体" w:cs="宋体"/>
          <w:kern w:val="0"/>
          <w:sz w:val="28"/>
          <w:szCs w:val="28"/>
          <w:u w:val="single"/>
        </w:rPr>
        <w:t>202</w:t>
      </w:r>
      <w:r>
        <w:rPr>
          <w:rFonts w:hint="eastAsia" w:ascii="宋体" w:hAnsi="宋体" w:cs="宋体"/>
          <w:kern w:val="0"/>
          <w:sz w:val="28"/>
          <w:szCs w:val="28"/>
          <w:u w:val="single"/>
          <w:lang w:val="en-US" w:eastAsia="zh-CN"/>
        </w:rPr>
        <w:t>6</w:t>
      </w:r>
      <w:r>
        <w:rPr>
          <w:rFonts w:hint="eastAsia" w:ascii="宋体" w:hAnsi="宋体" w:eastAsia="宋体" w:cs="宋体"/>
          <w:kern w:val="0"/>
          <w:sz w:val="28"/>
          <w:szCs w:val="28"/>
          <w:u w:val="single"/>
        </w:rPr>
        <w:t>年</w:t>
      </w:r>
      <w:r>
        <w:rPr>
          <w:rFonts w:hint="eastAsia" w:ascii="宋体" w:hAnsi="宋体" w:cs="宋体"/>
          <w:kern w:val="0"/>
          <w:sz w:val="28"/>
          <w:szCs w:val="28"/>
          <w:u w:val="single"/>
          <w:lang w:val="en-US" w:eastAsia="zh-CN"/>
        </w:rPr>
        <w:t>7</w:t>
      </w:r>
      <w:r>
        <w:rPr>
          <w:rFonts w:hint="eastAsia" w:ascii="宋体" w:hAnsi="宋体" w:eastAsia="宋体" w:cs="宋体"/>
          <w:kern w:val="0"/>
          <w:sz w:val="28"/>
          <w:szCs w:val="28"/>
          <w:u w:val="single"/>
        </w:rPr>
        <w:t>月</w:t>
      </w:r>
      <w:r>
        <w:rPr>
          <w:rFonts w:hint="eastAsia" w:ascii="宋体" w:hAnsi="宋体" w:cs="宋体"/>
          <w:kern w:val="0"/>
          <w:sz w:val="28"/>
          <w:szCs w:val="28"/>
          <w:u w:val="single"/>
          <w:lang w:val="en-US" w:eastAsia="zh-CN"/>
        </w:rPr>
        <w:t>28</w:t>
      </w:r>
      <w:r>
        <w:rPr>
          <w:rFonts w:hint="eastAsia" w:ascii="宋体" w:hAnsi="宋体" w:eastAsia="宋体" w:cs="宋体"/>
          <w:kern w:val="0"/>
          <w:sz w:val="28"/>
          <w:szCs w:val="28"/>
          <w:u w:val="single"/>
        </w:rPr>
        <w:t>日</w:t>
      </w:r>
      <w:r>
        <w:rPr>
          <w:rFonts w:hint="eastAsia" w:ascii="宋体" w:hAnsi="宋体" w:cs="宋体"/>
          <w:kern w:val="0"/>
          <w:sz w:val="28"/>
          <w:szCs w:val="28"/>
          <w:u w:val="single"/>
          <w:lang w:val="en-US" w:eastAsia="zh-CN"/>
        </w:rPr>
        <w:t>15</w:t>
      </w:r>
      <w:r>
        <w:rPr>
          <w:rFonts w:hint="eastAsia" w:ascii="宋体" w:hAnsi="宋体" w:eastAsia="宋体" w:cs="宋体"/>
          <w:kern w:val="0"/>
          <w:sz w:val="28"/>
          <w:szCs w:val="28"/>
          <w:u w:val="single"/>
        </w:rPr>
        <w:t>时起至202</w:t>
      </w:r>
      <w:r>
        <w:rPr>
          <w:rFonts w:hint="eastAsia" w:ascii="宋体" w:hAnsi="宋体" w:cs="宋体"/>
          <w:kern w:val="0"/>
          <w:sz w:val="28"/>
          <w:szCs w:val="28"/>
          <w:u w:val="single"/>
          <w:lang w:val="en-US" w:eastAsia="zh-CN"/>
        </w:rPr>
        <w:t>6</w:t>
      </w:r>
      <w:r>
        <w:rPr>
          <w:rFonts w:hint="eastAsia" w:ascii="宋体" w:hAnsi="宋体" w:eastAsia="宋体" w:cs="宋体"/>
          <w:kern w:val="0"/>
          <w:sz w:val="28"/>
          <w:szCs w:val="28"/>
          <w:u w:val="single"/>
        </w:rPr>
        <w:t>年</w:t>
      </w:r>
      <w:r>
        <w:rPr>
          <w:rFonts w:hint="eastAsia" w:ascii="宋体" w:hAnsi="宋体" w:cs="宋体"/>
          <w:kern w:val="0"/>
          <w:sz w:val="28"/>
          <w:szCs w:val="28"/>
          <w:u w:val="single"/>
          <w:lang w:val="en-US" w:eastAsia="zh-CN"/>
        </w:rPr>
        <w:t>7</w:t>
      </w:r>
      <w:r>
        <w:rPr>
          <w:rFonts w:hint="eastAsia" w:ascii="宋体" w:hAnsi="宋体" w:eastAsia="宋体" w:cs="宋体"/>
          <w:kern w:val="0"/>
          <w:sz w:val="28"/>
          <w:szCs w:val="28"/>
          <w:u w:val="single"/>
        </w:rPr>
        <w:t>月</w:t>
      </w:r>
      <w:r>
        <w:rPr>
          <w:rFonts w:hint="eastAsia" w:ascii="宋体" w:hAnsi="宋体" w:cs="宋体"/>
          <w:kern w:val="0"/>
          <w:sz w:val="28"/>
          <w:szCs w:val="28"/>
          <w:u w:val="single"/>
          <w:lang w:val="en-US" w:eastAsia="zh-CN"/>
        </w:rPr>
        <w:t>29</w:t>
      </w:r>
      <w:r>
        <w:rPr>
          <w:rFonts w:hint="eastAsia" w:ascii="宋体" w:hAnsi="宋体" w:eastAsia="宋体" w:cs="宋体"/>
          <w:kern w:val="0"/>
          <w:sz w:val="28"/>
          <w:szCs w:val="28"/>
          <w:u w:val="single"/>
        </w:rPr>
        <w:t>日</w:t>
      </w:r>
      <w:r>
        <w:rPr>
          <w:rFonts w:hint="eastAsia" w:ascii="宋体" w:hAnsi="宋体" w:cs="宋体"/>
          <w:kern w:val="0"/>
          <w:sz w:val="28"/>
          <w:szCs w:val="28"/>
          <w:u w:val="single"/>
          <w:lang w:val="en-US" w:eastAsia="zh-CN"/>
        </w:rPr>
        <w:t>15</w:t>
      </w:r>
      <w:r>
        <w:rPr>
          <w:rFonts w:hint="eastAsia" w:ascii="宋体" w:hAnsi="宋体" w:eastAsia="宋体" w:cs="宋体"/>
          <w:kern w:val="0"/>
          <w:sz w:val="28"/>
          <w:szCs w:val="28"/>
          <w:u w:val="single"/>
        </w:rPr>
        <w:t>时止</w:t>
      </w:r>
      <w:r>
        <w:rPr>
          <w:rFonts w:hint="eastAsia" w:ascii="宋体" w:hAnsi="宋体" w:eastAsia="宋体" w:cs="宋体"/>
          <w:kern w:val="0"/>
          <w:sz w:val="28"/>
          <w:szCs w:val="28"/>
        </w:rPr>
        <w:t>（届时正式竞价开始时间以江苏中博拍卖有限公司网络电子竞价系统时间为准）。</w:t>
      </w:r>
      <w:r>
        <w:rPr>
          <w:rFonts w:hint="eastAsia" w:ascii="宋体" w:hAnsi="宋体" w:eastAsia="宋体" w:cs="宋体"/>
          <w:kern w:val="0"/>
          <w:sz w:val="28"/>
          <w:szCs w:val="28"/>
        </w:rPr>
        <w:br w:type="textWrapping"/>
      </w:r>
      <w:r>
        <w:rPr>
          <w:rFonts w:hint="eastAsia" w:ascii="宋体" w:hAnsi="宋体" w:eastAsia="宋体" w:cs="宋体"/>
          <w:kern w:val="0"/>
          <w:sz w:val="28"/>
          <w:szCs w:val="28"/>
        </w:rPr>
        <w:t>5.竞价起始价：</w:t>
      </w:r>
      <w:r>
        <w:rPr>
          <w:rFonts w:hint="eastAsia" w:ascii="宋体" w:hAnsi="宋体" w:eastAsia="宋体" w:cs="宋体"/>
          <w:b/>
          <w:bCs/>
          <w:kern w:val="0"/>
          <w:sz w:val="28"/>
          <w:szCs w:val="28"/>
        </w:rPr>
        <w:t>￥</w:t>
      </w:r>
      <w:r>
        <w:rPr>
          <w:rFonts w:hint="eastAsia" w:ascii="宋体" w:hAnsi="宋体" w:cs="宋体"/>
          <w:b/>
          <w:bCs/>
          <w:kern w:val="0"/>
          <w:sz w:val="28"/>
          <w:szCs w:val="28"/>
          <w:u w:val="single"/>
          <w:lang w:val="en-US" w:eastAsia="zh-CN"/>
        </w:rPr>
        <w:t>650000</w:t>
      </w:r>
      <w:r>
        <w:rPr>
          <w:rFonts w:hint="eastAsia" w:ascii="宋体" w:hAnsi="宋体" w:eastAsia="宋体" w:cs="宋体"/>
          <w:b/>
          <w:bCs/>
          <w:kern w:val="0"/>
          <w:sz w:val="28"/>
          <w:szCs w:val="28"/>
        </w:rPr>
        <w:t>元</w:t>
      </w:r>
      <w:r>
        <w:rPr>
          <w:rFonts w:hint="eastAsia" w:ascii="宋体" w:hAnsi="宋体" w:eastAsia="宋体" w:cs="宋体"/>
          <w:kern w:val="0"/>
          <w:sz w:val="28"/>
          <w:szCs w:val="28"/>
        </w:rPr>
        <w:t>；报价的加价幅</w:t>
      </w:r>
      <w:r>
        <w:rPr>
          <w:rFonts w:hint="eastAsia" w:ascii="宋体" w:hAnsi="宋体" w:eastAsia="宋体" w:cs="宋体"/>
          <w:b/>
          <w:bCs/>
          <w:kern w:val="0"/>
          <w:sz w:val="28"/>
          <w:szCs w:val="28"/>
          <w:u w:val="single"/>
        </w:rPr>
        <w:t>￥</w:t>
      </w:r>
      <w:r>
        <w:rPr>
          <w:rFonts w:hint="eastAsia" w:ascii="宋体" w:hAnsi="宋体" w:cs="宋体"/>
          <w:b/>
          <w:bCs/>
          <w:kern w:val="0"/>
          <w:sz w:val="28"/>
          <w:szCs w:val="28"/>
          <w:u w:val="single"/>
          <w:lang w:val="en-US" w:eastAsia="zh-CN"/>
        </w:rPr>
        <w:t>1000</w:t>
      </w:r>
      <w:r>
        <w:rPr>
          <w:rFonts w:hint="eastAsia" w:ascii="宋体" w:hAnsi="宋体" w:eastAsia="宋体" w:cs="宋体"/>
          <w:b/>
          <w:bCs/>
          <w:kern w:val="0"/>
          <w:sz w:val="28"/>
          <w:szCs w:val="28"/>
          <w:u w:val="single"/>
        </w:rPr>
        <w:t>元</w:t>
      </w:r>
      <w:r>
        <w:rPr>
          <w:rFonts w:hint="eastAsia" w:ascii="宋体" w:hAnsi="宋体" w:eastAsia="宋体" w:cs="宋体"/>
          <w:kern w:val="0"/>
          <w:sz w:val="28"/>
          <w:szCs w:val="28"/>
        </w:rPr>
        <w:t xml:space="preserve">或整数倍数。 </w:t>
      </w:r>
    </w:p>
    <w:p w14:paraId="47B8B862">
      <w:pPr>
        <w:widowControl/>
        <w:spacing w:line="375" w:lineRule="atLeast"/>
        <w:jc w:val="left"/>
        <w:rPr>
          <w:rFonts w:hint="eastAsia" w:ascii="宋体" w:hAnsi="宋体" w:eastAsia="宋体" w:cs="宋体"/>
          <w:kern w:val="0"/>
          <w:sz w:val="28"/>
          <w:szCs w:val="28"/>
        </w:rPr>
      </w:pPr>
      <w:r>
        <w:rPr>
          <w:rFonts w:hint="eastAsia" w:ascii="宋体" w:hAnsi="宋体" w:eastAsia="宋体" w:cs="宋体"/>
          <w:kern w:val="0"/>
          <w:sz w:val="28"/>
          <w:szCs w:val="28"/>
        </w:rPr>
        <w:t>6.参与本次竞价需交纳竞价保证金人民币：</w:t>
      </w:r>
      <w:r>
        <w:rPr>
          <w:rFonts w:hint="eastAsia" w:ascii="宋体" w:hAnsi="宋体" w:cs="宋体"/>
          <w:kern w:val="0"/>
          <w:sz w:val="28"/>
          <w:szCs w:val="28"/>
          <w:lang w:eastAsia="zh-CN"/>
        </w:rPr>
        <w:t>拾叁</w:t>
      </w:r>
      <w:bookmarkStart w:id="0" w:name="_GoBack"/>
      <w:bookmarkEnd w:id="0"/>
      <w:r>
        <w:rPr>
          <w:rFonts w:hint="eastAsia" w:ascii="宋体" w:hAnsi="宋体" w:cs="宋体"/>
          <w:kern w:val="0"/>
          <w:sz w:val="28"/>
          <w:szCs w:val="28"/>
          <w:lang w:eastAsia="zh-CN"/>
        </w:rPr>
        <w:t>万元</w:t>
      </w:r>
      <w:r>
        <w:rPr>
          <w:rFonts w:hint="eastAsia" w:ascii="宋体" w:hAnsi="宋体" w:eastAsia="宋体" w:cs="宋体"/>
          <w:kern w:val="0"/>
          <w:sz w:val="28"/>
          <w:szCs w:val="28"/>
          <w:lang w:eastAsia="zh-CN"/>
        </w:rPr>
        <w:t>整</w:t>
      </w:r>
      <w:r>
        <w:rPr>
          <w:rFonts w:hint="eastAsia" w:ascii="宋体" w:hAnsi="宋体" w:eastAsia="宋体" w:cs="宋体"/>
          <w:kern w:val="0"/>
          <w:sz w:val="28"/>
          <w:szCs w:val="28"/>
        </w:rPr>
        <w:t>（￥</w:t>
      </w:r>
      <w:r>
        <w:rPr>
          <w:rFonts w:hint="eastAsia" w:ascii="宋体" w:hAnsi="宋体" w:cs="宋体"/>
          <w:kern w:val="0"/>
          <w:sz w:val="28"/>
          <w:szCs w:val="28"/>
          <w:lang w:val="en-US" w:eastAsia="zh-CN"/>
        </w:rPr>
        <w:t>130000</w:t>
      </w:r>
      <w:r>
        <w:rPr>
          <w:rFonts w:hint="eastAsia" w:ascii="宋体" w:hAnsi="宋体" w:eastAsia="宋体" w:cs="宋体"/>
          <w:kern w:val="0"/>
          <w:sz w:val="28"/>
          <w:szCs w:val="28"/>
        </w:rPr>
        <w:t>）</w:t>
      </w:r>
    </w:p>
    <w:p w14:paraId="5768BA63">
      <w:pPr>
        <w:widowControl/>
        <w:spacing w:line="375" w:lineRule="atLeast"/>
        <w:jc w:val="left"/>
        <w:rPr>
          <w:rFonts w:hint="eastAsia" w:ascii="宋体" w:hAnsi="宋体" w:eastAsia="宋体" w:cs="宋体"/>
          <w:kern w:val="0"/>
          <w:sz w:val="28"/>
          <w:szCs w:val="28"/>
        </w:rPr>
      </w:pPr>
      <w:r>
        <w:rPr>
          <w:rFonts w:hint="eastAsia" w:ascii="宋体" w:hAnsi="宋体" w:eastAsia="宋体" w:cs="宋体"/>
          <w:kern w:val="0"/>
          <w:sz w:val="28"/>
          <w:szCs w:val="28"/>
        </w:rPr>
        <w:t>7.竞价成功后，买受人应在中国联通陕西省分公司通知的时间内与转让方履行转让协议签约手续。若买受人未在所通知的时间内到场履行转让协议签约手续时，由此引发的一切问题均由买受人承担违约责任。</w:t>
      </w:r>
      <w:r>
        <w:rPr>
          <w:rFonts w:hint="eastAsia" w:ascii="宋体" w:hAnsi="宋体" w:eastAsia="宋体" w:cs="宋体"/>
          <w:kern w:val="0"/>
          <w:sz w:val="28"/>
          <w:szCs w:val="28"/>
        </w:rPr>
        <w:br w:type="textWrapping"/>
      </w:r>
      <w:r>
        <w:rPr>
          <w:rFonts w:hint="eastAsia" w:ascii="宋体" w:hAnsi="宋体" w:eastAsia="宋体" w:cs="宋体"/>
          <w:kern w:val="0"/>
          <w:sz w:val="28"/>
          <w:szCs w:val="28"/>
        </w:rPr>
        <w:t>8.竞价成功后，有关转让标的交割合同按中国联通陕西省分公司通知时间进行签订。</w:t>
      </w:r>
      <w:r>
        <w:rPr>
          <w:rFonts w:hint="eastAsia" w:ascii="宋体" w:hAnsi="宋体" w:eastAsia="宋体" w:cs="宋体"/>
          <w:kern w:val="0"/>
          <w:sz w:val="28"/>
          <w:szCs w:val="28"/>
        </w:rPr>
        <w:br w:type="textWrapping"/>
      </w:r>
      <w:r>
        <w:rPr>
          <w:rFonts w:hint="eastAsia" w:ascii="宋体" w:hAnsi="宋体" w:eastAsia="宋体" w:cs="宋体"/>
          <w:kern w:val="0"/>
          <w:sz w:val="28"/>
          <w:szCs w:val="28"/>
        </w:rPr>
        <w:t>9.竞价成功后买受人未按有关规定履行相关手续时，买受人将承担违约责任并无权要求返还竞价保证金。买受人逾期未支付竞价款，中国联通陕西省分公司有权组织重新竞价。</w:t>
      </w:r>
      <w:r>
        <w:rPr>
          <w:rFonts w:hint="eastAsia" w:ascii="宋体" w:hAnsi="宋体" w:eastAsia="宋体" w:cs="宋体"/>
          <w:kern w:val="0"/>
          <w:sz w:val="28"/>
          <w:szCs w:val="28"/>
        </w:rPr>
        <w:br w:type="textWrapping"/>
      </w:r>
      <w:r>
        <w:rPr>
          <w:rFonts w:hint="eastAsia" w:ascii="宋体" w:hAnsi="宋体" w:eastAsia="宋体" w:cs="宋体"/>
          <w:kern w:val="0"/>
          <w:sz w:val="28"/>
          <w:szCs w:val="28"/>
        </w:rPr>
        <w:t>10.合格竞买方参与本次竞价会，视同对转让标的已进行过尽职调查，且知悉转让标的所公开披露的全部信息及其可能存在的瑕疵。由此所产生的纠纷中国联通陕西省分公司均不承担任何法律责任和赔偿义务。</w:t>
      </w:r>
      <w:r>
        <w:rPr>
          <w:rFonts w:hint="eastAsia" w:ascii="宋体" w:hAnsi="宋体" w:eastAsia="宋体" w:cs="宋体"/>
          <w:kern w:val="0"/>
          <w:sz w:val="28"/>
          <w:szCs w:val="28"/>
        </w:rPr>
        <w:br w:type="textWrapping"/>
      </w:r>
      <w:r>
        <w:rPr>
          <w:rFonts w:hint="eastAsia" w:ascii="宋体" w:hAnsi="宋体" w:eastAsia="宋体" w:cs="宋体"/>
          <w:kern w:val="0"/>
          <w:sz w:val="28"/>
          <w:szCs w:val="28"/>
        </w:rPr>
        <w:t>11.资产转让过程中出现下列情形的，中国联合网络通信有限公司陕西省分公司可以要求转让方立即中止或者终结资产转让活动，同时中国联合网络通信有限公司陕西省分公司有权直接做出资产转让活动中止和终结的决定：</w:t>
      </w:r>
      <w:r>
        <w:rPr>
          <w:rFonts w:hint="eastAsia" w:ascii="宋体" w:hAnsi="宋体" w:eastAsia="宋体" w:cs="宋体"/>
          <w:kern w:val="0"/>
          <w:sz w:val="28"/>
          <w:szCs w:val="28"/>
        </w:rPr>
        <w:br w:type="textWrapping"/>
      </w:r>
      <w:r>
        <w:rPr>
          <w:rFonts w:hint="eastAsia" w:ascii="宋体" w:hAnsi="宋体" w:eastAsia="宋体" w:cs="宋体"/>
          <w:kern w:val="0"/>
          <w:sz w:val="28"/>
          <w:szCs w:val="28"/>
        </w:rPr>
        <w:t>（1）存在违反国家法律法规或其他有关方提出争议情形时；</w:t>
      </w:r>
      <w:r>
        <w:rPr>
          <w:rFonts w:hint="eastAsia" w:ascii="宋体" w:hAnsi="宋体" w:eastAsia="宋体" w:cs="宋体"/>
          <w:kern w:val="0"/>
          <w:sz w:val="28"/>
          <w:szCs w:val="28"/>
        </w:rPr>
        <w:br w:type="textWrapping"/>
      </w:r>
      <w:r>
        <w:rPr>
          <w:rFonts w:hint="eastAsia" w:ascii="宋体" w:hAnsi="宋体" w:eastAsia="宋体" w:cs="宋体"/>
          <w:kern w:val="0"/>
          <w:sz w:val="28"/>
          <w:szCs w:val="28"/>
        </w:rPr>
        <w:t>（2）未按相关要求履行交易程序的；</w:t>
      </w:r>
      <w:r>
        <w:rPr>
          <w:rFonts w:hint="eastAsia" w:ascii="宋体" w:hAnsi="宋体" w:eastAsia="宋体" w:cs="宋体"/>
          <w:kern w:val="0"/>
          <w:sz w:val="28"/>
          <w:szCs w:val="28"/>
        </w:rPr>
        <w:br w:type="textWrapping"/>
      </w:r>
      <w:r>
        <w:rPr>
          <w:rFonts w:hint="eastAsia" w:ascii="宋体" w:hAnsi="宋体" w:eastAsia="宋体" w:cs="宋体"/>
          <w:kern w:val="0"/>
          <w:sz w:val="28"/>
          <w:szCs w:val="28"/>
        </w:rPr>
        <w:t>（3）在资产交易过程中出现违反各项交易规则、细则等相关规定，并妨碍正常交易秩序的；</w:t>
      </w:r>
      <w:r>
        <w:rPr>
          <w:rFonts w:hint="eastAsia" w:ascii="宋体" w:hAnsi="宋体" w:eastAsia="宋体" w:cs="宋体"/>
          <w:kern w:val="0"/>
          <w:sz w:val="28"/>
          <w:szCs w:val="28"/>
        </w:rPr>
        <w:br w:type="textWrapping"/>
      </w:r>
      <w:r>
        <w:rPr>
          <w:rFonts w:hint="eastAsia" w:ascii="宋体" w:hAnsi="宋体" w:eastAsia="宋体" w:cs="宋体"/>
          <w:kern w:val="0"/>
          <w:sz w:val="28"/>
          <w:szCs w:val="28"/>
        </w:rPr>
        <w:t>（4）交易双方及相关主体因纠纷争讼，由仲裁机构（或法院）做出中止和终结决定的。</w:t>
      </w:r>
      <w:r>
        <w:rPr>
          <w:rFonts w:hint="eastAsia" w:ascii="宋体" w:hAnsi="宋体" w:eastAsia="宋体" w:cs="宋体"/>
          <w:kern w:val="0"/>
          <w:sz w:val="28"/>
          <w:szCs w:val="28"/>
        </w:rPr>
        <w:br w:type="textWrapping"/>
      </w:r>
      <w:r>
        <w:rPr>
          <w:rFonts w:hint="eastAsia" w:ascii="宋体" w:hAnsi="宋体" w:eastAsia="宋体" w:cs="宋体"/>
          <w:kern w:val="0"/>
          <w:sz w:val="28"/>
          <w:szCs w:val="28"/>
        </w:rPr>
        <w:t>12.本竞价须知由中国联合网络通信有限公司陕西省分公司负责解释。</w:t>
      </w:r>
    </w:p>
    <w:p w14:paraId="0D1B0381">
      <w:pPr>
        <w:widowControl/>
        <w:jc w:val="left"/>
        <w:rPr>
          <w:rFonts w:hint="eastAsia" w:ascii="宋体" w:hAnsi="宋体" w:eastAsia="宋体" w:cs="宋体"/>
          <w:sz w:val="28"/>
          <w:szCs w:val="28"/>
        </w:rPr>
      </w:pPr>
      <w:r>
        <w:rPr>
          <w:rFonts w:hint="eastAsia" w:ascii="宋体" w:hAnsi="宋体" w:eastAsia="宋体" w:cs="宋体"/>
          <w:sz w:val="28"/>
          <w:szCs w:val="28"/>
        </w:rPr>
        <w:tab/>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C775F4"/>
    <w:multiLevelType w:val="multilevel"/>
    <w:tmpl w:val="4AC775F4"/>
    <w:lvl w:ilvl="0" w:tentative="0">
      <w:start w:val="1"/>
      <w:numFmt w:val="decimal"/>
      <w:lvlText w:val="%1."/>
      <w:lvlJc w:val="left"/>
      <w:pPr>
        <w:ind w:left="425" w:hanging="425"/>
      </w:pPr>
      <w:rPr>
        <w:rFonts w:hint="eastAsia" w:ascii="宋体" w:hAnsi="宋体" w:eastAsia="宋体"/>
        <w:b/>
        <w:sz w:val="28"/>
      </w:rPr>
    </w:lvl>
    <w:lvl w:ilvl="1" w:tentative="0">
      <w:start w:val="1"/>
      <w:numFmt w:val="decimal"/>
      <w:pStyle w:val="9"/>
      <w:lvlText w:val="%1.%2"/>
      <w:lvlJc w:val="left"/>
      <w:pPr>
        <w:ind w:left="850" w:hanging="425"/>
      </w:pPr>
      <w:rPr>
        <w:rFonts w:hint="eastAsia" w:ascii="Times New Roman" w:hAnsi="Times New Roman" w:eastAsia="宋体"/>
        <w:b/>
        <w:i w:val="0"/>
        <w:sz w:val="24"/>
      </w:rPr>
    </w:lvl>
    <w:lvl w:ilvl="2" w:tentative="0">
      <w:start w:val="1"/>
      <w:numFmt w:val="decimal"/>
      <w:lvlText w:val="%1.%2.%3"/>
      <w:lvlJc w:val="left"/>
      <w:pPr>
        <w:ind w:left="1275" w:hanging="425"/>
      </w:pPr>
      <w:rPr>
        <w:rFonts w:hint="eastAsia" w:ascii="Times New Roman" w:hAnsi="Times New Roman" w:eastAsia="宋体"/>
        <w:b w:val="0"/>
        <w:i w:val="0"/>
        <w:sz w:val="21"/>
      </w:rPr>
    </w:lvl>
    <w:lvl w:ilvl="3" w:tentative="0">
      <w:start w:val="1"/>
      <w:numFmt w:val="decimal"/>
      <w:lvlText w:val="%1.%2.%3.%4"/>
      <w:lvlJc w:val="left"/>
      <w:pPr>
        <w:ind w:left="1700" w:hanging="425"/>
      </w:pPr>
    </w:lvl>
    <w:lvl w:ilvl="4" w:tentative="0">
      <w:start w:val="1"/>
      <w:numFmt w:val="decimal"/>
      <w:lvlText w:val="%1.%2.%3.%4.%5"/>
      <w:lvlJc w:val="left"/>
      <w:pPr>
        <w:ind w:left="2125" w:hanging="425"/>
      </w:pPr>
    </w:lvl>
    <w:lvl w:ilvl="5" w:tentative="0">
      <w:start w:val="1"/>
      <w:numFmt w:val="decimal"/>
      <w:lvlText w:val="%1.%2.%3.%4.%5.%6"/>
      <w:lvlJc w:val="left"/>
      <w:pPr>
        <w:ind w:left="2550" w:hanging="425"/>
      </w:pPr>
    </w:lvl>
    <w:lvl w:ilvl="6" w:tentative="0">
      <w:start w:val="1"/>
      <w:numFmt w:val="decimal"/>
      <w:lvlText w:val="%1.%2.%3.%4.%5.%6.%7"/>
      <w:lvlJc w:val="left"/>
      <w:pPr>
        <w:ind w:left="2975" w:hanging="425"/>
      </w:pPr>
    </w:lvl>
    <w:lvl w:ilvl="7" w:tentative="0">
      <w:start w:val="1"/>
      <w:numFmt w:val="decimal"/>
      <w:lvlText w:val="%1.%2.%3.%4.%5.%6.%7.%8"/>
      <w:lvlJc w:val="left"/>
      <w:pPr>
        <w:ind w:left="3400" w:hanging="425"/>
      </w:pPr>
    </w:lvl>
    <w:lvl w:ilvl="8" w:tentative="0">
      <w:start w:val="1"/>
      <w:numFmt w:val="decimal"/>
      <w:lvlText w:val="%1.%2.%3.%4.%5.%6.%7.%8.%9"/>
      <w:lvlJc w:val="left"/>
      <w:pPr>
        <w:ind w:left="3825" w:hanging="425"/>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lNTM5ZjQ1ZjE2ZGM5N2EwY2UyMWQ2MmI4ODljYzAifQ=="/>
  </w:docVars>
  <w:rsids>
    <w:rsidRoot w:val="00F42552"/>
    <w:rsid w:val="000B65CB"/>
    <w:rsid w:val="000C5007"/>
    <w:rsid w:val="000F100B"/>
    <w:rsid w:val="000F66DD"/>
    <w:rsid w:val="0017516F"/>
    <w:rsid w:val="001A5AA9"/>
    <w:rsid w:val="001F19FA"/>
    <w:rsid w:val="00224577"/>
    <w:rsid w:val="00227519"/>
    <w:rsid w:val="00341926"/>
    <w:rsid w:val="0036645E"/>
    <w:rsid w:val="003838E7"/>
    <w:rsid w:val="003A68E0"/>
    <w:rsid w:val="003A6E55"/>
    <w:rsid w:val="00423F3A"/>
    <w:rsid w:val="00432551"/>
    <w:rsid w:val="00440561"/>
    <w:rsid w:val="0044749B"/>
    <w:rsid w:val="004721CC"/>
    <w:rsid w:val="004729B1"/>
    <w:rsid w:val="00482F40"/>
    <w:rsid w:val="004E2C3D"/>
    <w:rsid w:val="00542A0F"/>
    <w:rsid w:val="005A3DA7"/>
    <w:rsid w:val="005D5D50"/>
    <w:rsid w:val="005F7127"/>
    <w:rsid w:val="00650876"/>
    <w:rsid w:val="00731343"/>
    <w:rsid w:val="0077052B"/>
    <w:rsid w:val="007728E7"/>
    <w:rsid w:val="00784606"/>
    <w:rsid w:val="007A104A"/>
    <w:rsid w:val="007B6EDE"/>
    <w:rsid w:val="007C1098"/>
    <w:rsid w:val="007C49B0"/>
    <w:rsid w:val="008118B8"/>
    <w:rsid w:val="00847367"/>
    <w:rsid w:val="008523B0"/>
    <w:rsid w:val="008C4EB9"/>
    <w:rsid w:val="008D271F"/>
    <w:rsid w:val="0090258D"/>
    <w:rsid w:val="00940DDE"/>
    <w:rsid w:val="00A37134"/>
    <w:rsid w:val="00A65DF2"/>
    <w:rsid w:val="00A81CE9"/>
    <w:rsid w:val="00A91133"/>
    <w:rsid w:val="00AE2023"/>
    <w:rsid w:val="00AF113A"/>
    <w:rsid w:val="00B30532"/>
    <w:rsid w:val="00B438A6"/>
    <w:rsid w:val="00B8237F"/>
    <w:rsid w:val="00BD0EC7"/>
    <w:rsid w:val="00C13C9B"/>
    <w:rsid w:val="00C27E43"/>
    <w:rsid w:val="00C93766"/>
    <w:rsid w:val="00CA670C"/>
    <w:rsid w:val="00CC6165"/>
    <w:rsid w:val="00CE4088"/>
    <w:rsid w:val="00CF6A17"/>
    <w:rsid w:val="00D63A57"/>
    <w:rsid w:val="00D76654"/>
    <w:rsid w:val="00D902C7"/>
    <w:rsid w:val="00DD7DFE"/>
    <w:rsid w:val="00DE1E21"/>
    <w:rsid w:val="00DF0C7D"/>
    <w:rsid w:val="00E55ED2"/>
    <w:rsid w:val="00EF0FA1"/>
    <w:rsid w:val="00F42552"/>
    <w:rsid w:val="00FB437E"/>
    <w:rsid w:val="01691E94"/>
    <w:rsid w:val="01ED360A"/>
    <w:rsid w:val="02B055C6"/>
    <w:rsid w:val="03B51AF0"/>
    <w:rsid w:val="04906F0D"/>
    <w:rsid w:val="06FC1267"/>
    <w:rsid w:val="07362663"/>
    <w:rsid w:val="07B65DA8"/>
    <w:rsid w:val="0828672D"/>
    <w:rsid w:val="09F011F3"/>
    <w:rsid w:val="09FF530B"/>
    <w:rsid w:val="0A4E3C47"/>
    <w:rsid w:val="0AFD318D"/>
    <w:rsid w:val="0DE83B70"/>
    <w:rsid w:val="0E7464B5"/>
    <w:rsid w:val="0E870F8C"/>
    <w:rsid w:val="0EEE55E7"/>
    <w:rsid w:val="0FAE1334"/>
    <w:rsid w:val="11E12A7B"/>
    <w:rsid w:val="124F3295"/>
    <w:rsid w:val="12E23B09"/>
    <w:rsid w:val="134769F0"/>
    <w:rsid w:val="14E33DDB"/>
    <w:rsid w:val="15E82AFC"/>
    <w:rsid w:val="17A82ADD"/>
    <w:rsid w:val="17B752F6"/>
    <w:rsid w:val="18482E0F"/>
    <w:rsid w:val="19081332"/>
    <w:rsid w:val="190A401E"/>
    <w:rsid w:val="1A525E2C"/>
    <w:rsid w:val="1B2940D7"/>
    <w:rsid w:val="1D194908"/>
    <w:rsid w:val="1EC13938"/>
    <w:rsid w:val="1F612D62"/>
    <w:rsid w:val="1F841C96"/>
    <w:rsid w:val="201B1FFC"/>
    <w:rsid w:val="236E24D5"/>
    <w:rsid w:val="241D0716"/>
    <w:rsid w:val="24470B60"/>
    <w:rsid w:val="24E4203C"/>
    <w:rsid w:val="25266D80"/>
    <w:rsid w:val="26956C27"/>
    <w:rsid w:val="271F00D0"/>
    <w:rsid w:val="29B80F80"/>
    <w:rsid w:val="2A112675"/>
    <w:rsid w:val="2BD63B5A"/>
    <w:rsid w:val="2C9C241F"/>
    <w:rsid w:val="2E1D34FC"/>
    <w:rsid w:val="2E5124E4"/>
    <w:rsid w:val="2EC46EF3"/>
    <w:rsid w:val="307848E6"/>
    <w:rsid w:val="30A566E4"/>
    <w:rsid w:val="30B27573"/>
    <w:rsid w:val="33057BB5"/>
    <w:rsid w:val="33F474CA"/>
    <w:rsid w:val="34570938"/>
    <w:rsid w:val="3574071E"/>
    <w:rsid w:val="360708F2"/>
    <w:rsid w:val="36DC3314"/>
    <w:rsid w:val="373E372F"/>
    <w:rsid w:val="38233AF4"/>
    <w:rsid w:val="39714252"/>
    <w:rsid w:val="3A8D565D"/>
    <w:rsid w:val="3B834A40"/>
    <w:rsid w:val="3C0D3013"/>
    <w:rsid w:val="3EE65474"/>
    <w:rsid w:val="3F6075C3"/>
    <w:rsid w:val="412B5D72"/>
    <w:rsid w:val="414F6EDE"/>
    <w:rsid w:val="423A60B6"/>
    <w:rsid w:val="42945AC4"/>
    <w:rsid w:val="433078C8"/>
    <w:rsid w:val="45114F41"/>
    <w:rsid w:val="459445B8"/>
    <w:rsid w:val="48243B68"/>
    <w:rsid w:val="49731BC9"/>
    <w:rsid w:val="4AF00C58"/>
    <w:rsid w:val="4B6E6246"/>
    <w:rsid w:val="4B9025C9"/>
    <w:rsid w:val="4BB142A2"/>
    <w:rsid w:val="4D4262FA"/>
    <w:rsid w:val="4D6A1A9A"/>
    <w:rsid w:val="4F2758D2"/>
    <w:rsid w:val="4FC6067D"/>
    <w:rsid w:val="5108533B"/>
    <w:rsid w:val="53832D10"/>
    <w:rsid w:val="54163249"/>
    <w:rsid w:val="556676C9"/>
    <w:rsid w:val="55774444"/>
    <w:rsid w:val="55835B9D"/>
    <w:rsid w:val="56D215EA"/>
    <w:rsid w:val="572944D2"/>
    <w:rsid w:val="59601205"/>
    <w:rsid w:val="59843C6A"/>
    <w:rsid w:val="5B0F11F3"/>
    <w:rsid w:val="5D26635F"/>
    <w:rsid w:val="5D8F0274"/>
    <w:rsid w:val="5DBD55D9"/>
    <w:rsid w:val="5E9868CE"/>
    <w:rsid w:val="5FF4106A"/>
    <w:rsid w:val="63466E18"/>
    <w:rsid w:val="63BA5F95"/>
    <w:rsid w:val="63E11F6B"/>
    <w:rsid w:val="64266749"/>
    <w:rsid w:val="66F1593F"/>
    <w:rsid w:val="67B94809"/>
    <w:rsid w:val="68B17507"/>
    <w:rsid w:val="68B213BB"/>
    <w:rsid w:val="68B426F0"/>
    <w:rsid w:val="69DD0FBC"/>
    <w:rsid w:val="6A070A10"/>
    <w:rsid w:val="6A3A1B81"/>
    <w:rsid w:val="6B2044D3"/>
    <w:rsid w:val="6B5A4CCF"/>
    <w:rsid w:val="6C9F43A9"/>
    <w:rsid w:val="6CB762C9"/>
    <w:rsid w:val="6EBE2E1C"/>
    <w:rsid w:val="6FEC6E62"/>
    <w:rsid w:val="70537AE6"/>
    <w:rsid w:val="723D5203"/>
    <w:rsid w:val="72CE742F"/>
    <w:rsid w:val="74030957"/>
    <w:rsid w:val="77CC7198"/>
    <w:rsid w:val="78A36DCF"/>
    <w:rsid w:val="78CE6DA8"/>
    <w:rsid w:val="7C9D26A3"/>
    <w:rsid w:val="7D63350F"/>
    <w:rsid w:val="7D751743"/>
    <w:rsid w:val="7EAA45DE"/>
    <w:rsid w:val="7EB006E5"/>
    <w:rsid w:val="7FDF18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14"/>
    <w:unhideWhenUsed/>
    <w:qFormat/>
    <w:uiPriority w:val="9"/>
    <w:pPr>
      <w:keepNext/>
      <w:keepLines/>
      <w:spacing w:before="260" w:after="260" w:line="416" w:lineRule="auto"/>
      <w:outlineLvl w:val="1"/>
    </w:pPr>
    <w:rPr>
      <w:rFonts w:ascii="Cambria" w:hAnsi="Cambria"/>
      <w:b/>
      <w:bCs/>
      <w:sz w:val="32"/>
      <w:szCs w:val="32"/>
    </w:rPr>
  </w:style>
  <w:style w:type="paragraph" w:styleId="3">
    <w:name w:val="heading 3"/>
    <w:basedOn w:val="1"/>
    <w:next w:val="1"/>
    <w:link w:val="15"/>
    <w:unhideWhenUsed/>
    <w:qFormat/>
    <w:uiPriority w:val="9"/>
    <w:pPr>
      <w:keepNext/>
      <w:keepLines/>
      <w:spacing w:before="260" w:after="260" w:line="416" w:lineRule="auto"/>
      <w:outlineLvl w:val="2"/>
    </w:pPr>
    <w:rPr>
      <w:b/>
      <w:bCs/>
      <w:sz w:val="32"/>
      <w:szCs w:val="32"/>
    </w:rPr>
  </w:style>
  <w:style w:type="paragraph" w:styleId="4">
    <w:name w:val="heading 4"/>
    <w:basedOn w:val="1"/>
    <w:next w:val="1"/>
    <w:link w:val="16"/>
    <w:unhideWhenUsed/>
    <w:qFormat/>
    <w:uiPriority w:val="9"/>
    <w:pPr>
      <w:keepNext/>
      <w:keepLines/>
      <w:spacing w:line="360" w:lineRule="auto"/>
      <w:outlineLvl w:val="3"/>
    </w:pPr>
    <w:rPr>
      <w:rFonts w:ascii="Times New Roman" w:hAnsi="Times New Roman"/>
      <w:b/>
      <w:bCs/>
      <w:szCs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lock Text"/>
    <w:basedOn w:val="1"/>
    <w:unhideWhenUsed/>
    <w:qFormat/>
    <w:uiPriority w:val="99"/>
    <w:pPr>
      <w:spacing w:after="120"/>
      <w:ind w:left="1440" w:leftChars="700" w:right="1440" w:rightChars="700"/>
    </w:pPr>
    <w:rPr>
      <w:rFonts w:ascii="Times New Roman" w:hAnsi="Times New Roman"/>
      <w:szCs w:val="24"/>
    </w:rPr>
  </w:style>
  <w:style w:type="paragraph" w:styleId="6">
    <w:name w:val="footer"/>
    <w:basedOn w:val="1"/>
    <w:link w:val="23"/>
    <w:unhideWhenUsed/>
    <w:qFormat/>
    <w:uiPriority w:val="99"/>
    <w:pPr>
      <w:tabs>
        <w:tab w:val="center" w:pos="4153"/>
        <w:tab w:val="right" w:pos="8306"/>
      </w:tabs>
      <w:snapToGrid w:val="0"/>
      <w:jc w:val="left"/>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9">
    <w:name w:val="Title"/>
    <w:basedOn w:val="1"/>
    <w:next w:val="1"/>
    <w:link w:val="18"/>
    <w:qFormat/>
    <w:uiPriority w:val="0"/>
    <w:pPr>
      <w:numPr>
        <w:ilvl w:val="1"/>
        <w:numId w:val="1"/>
      </w:numPr>
      <w:spacing w:before="240" w:after="60"/>
      <w:jc w:val="center"/>
      <w:outlineLvl w:val="0"/>
    </w:pPr>
    <w:rPr>
      <w:rFonts w:ascii="Cambria" w:hAnsi="Cambria"/>
      <w:b/>
      <w:bCs/>
      <w:sz w:val="32"/>
      <w:szCs w:val="32"/>
    </w:rPr>
  </w:style>
  <w:style w:type="character" w:styleId="12">
    <w:name w:val="Strong"/>
    <w:basedOn w:val="11"/>
    <w:qFormat/>
    <w:uiPriority w:val="22"/>
    <w:rPr>
      <w:b/>
      <w:bCs/>
    </w:rPr>
  </w:style>
  <w:style w:type="character" w:styleId="13">
    <w:name w:val="Hyperlink"/>
    <w:basedOn w:val="11"/>
    <w:semiHidden/>
    <w:unhideWhenUsed/>
    <w:qFormat/>
    <w:uiPriority w:val="99"/>
    <w:rPr>
      <w:color w:val="0000FF"/>
      <w:u w:val="single"/>
    </w:rPr>
  </w:style>
  <w:style w:type="character" w:customStyle="1" w:styleId="14">
    <w:name w:val="标题 2 字符"/>
    <w:link w:val="2"/>
    <w:qFormat/>
    <w:uiPriority w:val="9"/>
    <w:rPr>
      <w:rFonts w:ascii="Cambria" w:hAnsi="Cambria"/>
      <w:b/>
      <w:bCs/>
      <w:kern w:val="2"/>
      <w:sz w:val="32"/>
      <w:szCs w:val="32"/>
    </w:rPr>
  </w:style>
  <w:style w:type="character" w:customStyle="1" w:styleId="15">
    <w:name w:val="标题 3 字符"/>
    <w:link w:val="3"/>
    <w:qFormat/>
    <w:uiPriority w:val="9"/>
    <w:rPr>
      <w:b/>
      <w:bCs/>
      <w:kern w:val="2"/>
      <w:sz w:val="32"/>
      <w:szCs w:val="32"/>
    </w:rPr>
  </w:style>
  <w:style w:type="character" w:customStyle="1" w:styleId="16">
    <w:name w:val="标题 4 字符"/>
    <w:link w:val="4"/>
    <w:qFormat/>
    <w:uiPriority w:val="9"/>
    <w:rPr>
      <w:rFonts w:ascii="Times New Roman" w:hAnsi="Times New Roman"/>
      <w:b/>
      <w:bCs/>
      <w:kern w:val="2"/>
      <w:sz w:val="21"/>
      <w:szCs w:val="28"/>
    </w:rPr>
  </w:style>
  <w:style w:type="character" w:customStyle="1" w:styleId="17">
    <w:name w:val="标题 Char"/>
    <w:basedOn w:val="11"/>
    <w:qFormat/>
    <w:uiPriority w:val="10"/>
    <w:rPr>
      <w:rFonts w:asciiTheme="majorHAnsi" w:hAnsiTheme="majorHAnsi" w:cstheme="majorBidi"/>
      <w:b/>
      <w:bCs/>
      <w:kern w:val="2"/>
      <w:sz w:val="32"/>
      <w:szCs w:val="32"/>
    </w:rPr>
  </w:style>
  <w:style w:type="character" w:customStyle="1" w:styleId="18">
    <w:name w:val="标题 字符"/>
    <w:link w:val="9"/>
    <w:qFormat/>
    <w:uiPriority w:val="0"/>
    <w:rPr>
      <w:rFonts w:ascii="Cambria" w:hAnsi="Cambria"/>
      <w:b/>
      <w:bCs/>
      <w:kern w:val="2"/>
      <w:sz w:val="32"/>
      <w:szCs w:val="32"/>
    </w:rPr>
  </w:style>
  <w:style w:type="paragraph" w:customStyle="1" w:styleId="19">
    <w:name w:val="1"/>
    <w:basedOn w:val="1"/>
    <w:next w:val="20"/>
    <w:qFormat/>
    <w:uiPriority w:val="99"/>
    <w:pPr>
      <w:ind w:firstLine="420" w:firstLineChars="200"/>
    </w:pPr>
    <w:rPr>
      <w:rFonts w:ascii="Times New Roman" w:hAnsi="Times New Roman"/>
      <w:kern w:val="0"/>
      <w:sz w:val="20"/>
      <w:szCs w:val="24"/>
    </w:rPr>
  </w:style>
  <w:style w:type="paragraph" w:styleId="20">
    <w:name w:val="List Paragraph"/>
    <w:basedOn w:val="1"/>
    <w:link w:val="21"/>
    <w:qFormat/>
    <w:uiPriority w:val="34"/>
    <w:pPr>
      <w:ind w:firstLine="420" w:firstLineChars="200"/>
    </w:pPr>
  </w:style>
  <w:style w:type="character" w:customStyle="1" w:styleId="21">
    <w:name w:val="列表段落 字符"/>
    <w:link w:val="20"/>
    <w:qFormat/>
    <w:locked/>
    <w:uiPriority w:val="34"/>
    <w:rPr>
      <w:kern w:val="2"/>
      <w:sz w:val="21"/>
      <w:szCs w:val="22"/>
    </w:rPr>
  </w:style>
  <w:style w:type="character" w:customStyle="1" w:styleId="22">
    <w:name w:val="页眉 字符"/>
    <w:basedOn w:val="11"/>
    <w:link w:val="7"/>
    <w:qFormat/>
    <w:uiPriority w:val="99"/>
    <w:rPr>
      <w:kern w:val="2"/>
      <w:sz w:val="18"/>
      <w:szCs w:val="18"/>
    </w:rPr>
  </w:style>
  <w:style w:type="character" w:customStyle="1" w:styleId="23">
    <w:name w:val="页脚 字符"/>
    <w:basedOn w:val="11"/>
    <w:link w:val="6"/>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1179</Words>
  <Characters>1258</Characters>
  <Lines>9</Lines>
  <Paragraphs>2</Paragraphs>
  <TotalTime>0</TotalTime>
  <ScaleCrop>false</ScaleCrop>
  <LinksUpToDate>false</LinksUpToDate>
  <CharactersWithSpaces>1261</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2022-03-29T01:20:00Z</dcterms:created>
  <dc:creator>个人用户</dc:creator>
  <cp:lastModifiedBy>孙媛</cp:lastModifiedBy>
  <dcterms:modified xsi:type="dcterms:W3CDTF">2026-07-20T02:07:54Z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AD24D421631D41C3B8D7B7DF2035831E_13</vt:lpwstr>
  </property>
</Properties>
</file>