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1C0F2">
      <w:pPr>
        <w:jc w:val="center"/>
        <w:rPr>
          <w:rFonts w:ascii="黑体" w:hAnsi="Times New Roman" w:eastAsia="黑体"/>
          <w:sz w:val="44"/>
          <w:szCs w:val="48"/>
          <w:highlight w:val="none"/>
        </w:rPr>
      </w:pPr>
    </w:p>
    <w:p w14:paraId="0E306D60">
      <w:pPr>
        <w:jc w:val="center"/>
        <w:rPr>
          <w:rFonts w:hint="eastAsia" w:ascii="黑体" w:hAnsi="Times New Roman" w:eastAsia="黑体"/>
          <w:sz w:val="44"/>
          <w:szCs w:val="48"/>
          <w:highlight w:val="none"/>
        </w:rPr>
      </w:pPr>
      <w:r>
        <w:rPr>
          <w:rFonts w:hint="eastAsia" w:ascii="黑体" w:hAnsi="黑体" w:eastAsia="黑体"/>
          <w:sz w:val="44"/>
          <w:szCs w:val="48"/>
          <w:highlight w:val="none"/>
        </w:rPr>
        <w:t>中国联合网络通信有限公司</w:t>
      </w:r>
      <w:r>
        <w:rPr>
          <w:rFonts w:hint="eastAsia" w:ascii="黑体" w:hAnsi="黑体" w:eastAsia="黑体" w:cs="Times New Roman"/>
          <w:sz w:val="44"/>
          <w:szCs w:val="48"/>
          <w:highlight w:val="none"/>
          <w:lang w:val="en-US" w:eastAsia="zh-CN"/>
        </w:rPr>
        <w:t>四川省</w:t>
      </w:r>
      <w:r>
        <w:rPr>
          <w:rFonts w:hint="eastAsia" w:ascii="黑体" w:hAnsi="黑体" w:eastAsia="黑体"/>
          <w:sz w:val="44"/>
          <w:szCs w:val="48"/>
          <w:highlight w:val="none"/>
        </w:rPr>
        <w:t>分公司</w:t>
      </w:r>
    </w:p>
    <w:p w14:paraId="173F8FCF">
      <w:pPr>
        <w:jc w:val="center"/>
        <w:rPr>
          <w:rFonts w:hint="eastAsia" w:ascii="黑体" w:hAnsi="Times New Roman" w:eastAsia="黑体"/>
          <w:sz w:val="44"/>
          <w:szCs w:val="48"/>
          <w:highlight w:val="none"/>
        </w:rPr>
      </w:pPr>
      <w:r>
        <w:rPr>
          <w:rFonts w:hint="eastAsia" w:ascii="黑体" w:hAnsi="黑体" w:eastAsia="黑体"/>
          <w:sz w:val="44"/>
          <w:szCs w:val="48"/>
          <w:highlight w:val="none"/>
        </w:rPr>
        <w:t>报废物资处置合同</w:t>
      </w:r>
    </w:p>
    <w:p w14:paraId="69ECCA0C">
      <w:pPr>
        <w:jc w:val="center"/>
        <w:rPr>
          <w:rFonts w:hint="eastAsia"/>
          <w:b/>
          <w:bCs/>
          <w:sz w:val="44"/>
          <w:szCs w:val="48"/>
          <w:highlight w:val="none"/>
        </w:rPr>
      </w:pPr>
      <w:r>
        <w:rPr>
          <w:b/>
          <w:bCs/>
          <w:sz w:val="44"/>
          <w:szCs w:val="48"/>
          <w:highlight w:val="none"/>
        </w:rPr>
        <w:t xml:space="preserve"> </w:t>
      </w:r>
    </w:p>
    <w:p w14:paraId="6EB93BA6">
      <w:pPr>
        <w:rPr>
          <w:szCs w:val="21"/>
          <w:highlight w:val="none"/>
        </w:rPr>
      </w:pPr>
      <w:r>
        <w:rPr>
          <w:highlight w:val="none"/>
        </w:rPr>
        <w:t xml:space="preserve"> </w:t>
      </w:r>
    </w:p>
    <w:p w14:paraId="2D323A21">
      <w:pPr>
        <w:rPr>
          <w:highlight w:val="none"/>
        </w:rPr>
      </w:pPr>
      <w:r>
        <w:rPr>
          <w:highlight w:val="none"/>
        </w:rPr>
        <w:t xml:space="preserve"> </w:t>
      </w:r>
    </w:p>
    <w:p w14:paraId="2236A6BA">
      <w:pPr>
        <w:rPr>
          <w:rFonts w:ascii="宋体" w:hAnsi="宋体"/>
          <w:sz w:val="28"/>
          <w:szCs w:val="28"/>
          <w:highlight w:val="none"/>
        </w:rPr>
      </w:pPr>
      <w:r>
        <w:rPr>
          <w:rFonts w:ascii="Times New Roman" w:hAnsi="Times New Roman"/>
          <w:sz w:val="28"/>
          <w:szCs w:val="28"/>
          <w:highlight w:val="none"/>
        </w:rPr>
        <w:t xml:space="preserve">   </w:t>
      </w:r>
      <w:r>
        <w:rPr>
          <w:rFonts w:hint="eastAsia" w:ascii="宋体" w:hAnsi="宋体"/>
          <w:sz w:val="28"/>
          <w:szCs w:val="28"/>
          <w:highlight w:val="none"/>
        </w:rPr>
        <w:t xml:space="preserve"> 项目名称：四川联通</w:t>
      </w:r>
      <w:r>
        <w:rPr>
          <w:rFonts w:hint="eastAsia" w:ascii="宋体" w:hAnsi="宋体"/>
          <w:sz w:val="28"/>
          <w:szCs w:val="28"/>
          <w:highlight w:val="none"/>
          <w:lang w:val="en-US" w:eastAsia="zh-CN"/>
        </w:rPr>
        <w:t>2026</w:t>
      </w:r>
      <w:r>
        <w:rPr>
          <w:rFonts w:hint="eastAsia" w:ascii="宋体" w:hAnsi="宋体"/>
          <w:sz w:val="28"/>
          <w:szCs w:val="28"/>
          <w:highlight w:val="none"/>
        </w:rPr>
        <w:t>年报废</w:t>
      </w:r>
      <w:r>
        <w:rPr>
          <w:rFonts w:hint="eastAsia" w:ascii="宋体" w:hAnsi="宋体"/>
          <w:sz w:val="28"/>
          <w:szCs w:val="28"/>
          <w:highlight w:val="none"/>
          <w:lang w:val="en-US" w:eastAsia="zh-CN"/>
        </w:rPr>
        <w:t>蓄电池</w:t>
      </w:r>
      <w:r>
        <w:rPr>
          <w:rFonts w:hint="eastAsia" w:ascii="宋体" w:hAnsi="宋体"/>
          <w:sz w:val="28"/>
          <w:szCs w:val="28"/>
          <w:highlight w:val="none"/>
        </w:rPr>
        <w:t>集中</w:t>
      </w:r>
      <w:r>
        <w:rPr>
          <w:rFonts w:hint="eastAsia" w:ascii="宋体" w:hAnsi="宋体"/>
          <w:sz w:val="28"/>
          <w:szCs w:val="28"/>
          <w:highlight w:val="none"/>
          <w:lang w:val="en-US" w:eastAsia="zh-CN"/>
        </w:rPr>
        <w:t>预</w:t>
      </w:r>
      <w:r>
        <w:rPr>
          <w:rFonts w:hint="eastAsia" w:ascii="宋体" w:hAnsi="宋体"/>
          <w:sz w:val="28"/>
          <w:szCs w:val="28"/>
          <w:highlight w:val="none"/>
        </w:rPr>
        <w:t>处置合同</w:t>
      </w:r>
    </w:p>
    <w:p w14:paraId="54AD5AFF">
      <w:pPr>
        <w:rPr>
          <w:rFonts w:hint="eastAsia" w:ascii="宋体" w:hAnsi="宋体"/>
          <w:sz w:val="24"/>
          <w:szCs w:val="24"/>
          <w:highlight w:val="none"/>
        </w:rPr>
      </w:pPr>
      <w:r>
        <w:rPr>
          <w:rFonts w:hint="eastAsia" w:ascii="宋体" w:hAnsi="宋体"/>
          <w:sz w:val="24"/>
          <w:szCs w:val="24"/>
          <w:highlight w:val="none"/>
        </w:rPr>
        <w:t xml:space="preserve"> </w:t>
      </w:r>
    </w:p>
    <w:p w14:paraId="33C84996">
      <w:pPr>
        <w:rPr>
          <w:rFonts w:hint="eastAsia" w:ascii="宋体" w:hAnsi="宋体"/>
          <w:sz w:val="24"/>
          <w:szCs w:val="24"/>
          <w:highlight w:val="none"/>
        </w:rPr>
      </w:pPr>
      <w:r>
        <w:rPr>
          <w:rFonts w:hint="eastAsia" w:ascii="宋体" w:hAnsi="宋体"/>
          <w:sz w:val="24"/>
          <w:szCs w:val="24"/>
          <w:highlight w:val="none"/>
        </w:rPr>
        <w:t xml:space="preserve"> </w:t>
      </w:r>
    </w:p>
    <w:p w14:paraId="1648BA8A">
      <w:pPr>
        <w:rPr>
          <w:rFonts w:hint="eastAsia" w:ascii="宋体" w:hAnsi="宋体"/>
          <w:sz w:val="24"/>
          <w:szCs w:val="24"/>
          <w:highlight w:val="none"/>
        </w:rPr>
      </w:pPr>
      <w:r>
        <w:rPr>
          <w:rFonts w:hint="eastAsia" w:ascii="宋体" w:hAnsi="宋体"/>
          <w:sz w:val="24"/>
          <w:szCs w:val="24"/>
          <w:highlight w:val="none"/>
        </w:rPr>
        <w:t xml:space="preserve">        </w:t>
      </w:r>
    </w:p>
    <w:p w14:paraId="06240D4B">
      <w:pPr>
        <w:rPr>
          <w:rFonts w:hint="eastAsia" w:ascii="宋体" w:hAnsi="宋体"/>
          <w:sz w:val="24"/>
          <w:szCs w:val="24"/>
          <w:highlight w:val="none"/>
        </w:rPr>
      </w:pPr>
      <w:r>
        <w:rPr>
          <w:rFonts w:hint="eastAsia" w:ascii="宋体" w:hAnsi="宋体"/>
          <w:sz w:val="24"/>
          <w:szCs w:val="24"/>
          <w:highlight w:val="none"/>
        </w:rPr>
        <w:t xml:space="preserve"> </w:t>
      </w:r>
    </w:p>
    <w:p w14:paraId="3E7FB7A0">
      <w:pPr>
        <w:rPr>
          <w:rFonts w:hint="eastAsia" w:ascii="宋体" w:hAnsi="宋体"/>
          <w:sz w:val="24"/>
          <w:szCs w:val="24"/>
          <w:highlight w:val="none"/>
        </w:rPr>
      </w:pPr>
    </w:p>
    <w:p w14:paraId="2A42D154">
      <w:pPr>
        <w:rPr>
          <w:rFonts w:hint="eastAsia" w:ascii="宋体" w:hAnsi="宋体"/>
          <w:sz w:val="24"/>
          <w:szCs w:val="24"/>
          <w:highlight w:val="none"/>
        </w:rPr>
      </w:pPr>
    </w:p>
    <w:p w14:paraId="1BE04B80">
      <w:pPr>
        <w:rPr>
          <w:rFonts w:hint="eastAsia" w:ascii="宋体" w:hAnsi="宋体"/>
          <w:sz w:val="24"/>
          <w:szCs w:val="24"/>
          <w:highlight w:val="none"/>
        </w:rPr>
      </w:pPr>
    </w:p>
    <w:p w14:paraId="6BC6B18C">
      <w:pPr>
        <w:rPr>
          <w:rFonts w:hint="eastAsia" w:ascii="宋体" w:hAnsi="宋体"/>
          <w:sz w:val="24"/>
          <w:szCs w:val="24"/>
          <w:highlight w:val="none"/>
        </w:rPr>
      </w:pPr>
    </w:p>
    <w:p w14:paraId="55DEDC90">
      <w:pPr>
        <w:rPr>
          <w:rFonts w:hint="eastAsia" w:ascii="宋体" w:hAnsi="宋体"/>
          <w:sz w:val="24"/>
          <w:szCs w:val="24"/>
          <w:highlight w:val="none"/>
        </w:rPr>
      </w:pPr>
    </w:p>
    <w:p w14:paraId="528E9DD0">
      <w:pPr>
        <w:rPr>
          <w:rFonts w:hint="eastAsia" w:ascii="宋体" w:hAnsi="宋体"/>
          <w:sz w:val="24"/>
          <w:szCs w:val="24"/>
          <w:highlight w:val="none"/>
        </w:rPr>
      </w:pPr>
    </w:p>
    <w:p w14:paraId="6294228B">
      <w:pPr>
        <w:rPr>
          <w:rFonts w:hint="eastAsia" w:ascii="宋体" w:hAnsi="宋体"/>
          <w:sz w:val="24"/>
          <w:szCs w:val="24"/>
          <w:highlight w:val="none"/>
        </w:rPr>
      </w:pPr>
    </w:p>
    <w:p w14:paraId="177782AF">
      <w:pPr>
        <w:rPr>
          <w:rFonts w:hint="eastAsia" w:ascii="宋体" w:hAnsi="宋体"/>
          <w:sz w:val="24"/>
          <w:szCs w:val="24"/>
          <w:highlight w:val="none"/>
        </w:rPr>
      </w:pPr>
    </w:p>
    <w:p w14:paraId="01D48EAB">
      <w:pPr>
        <w:rPr>
          <w:rFonts w:hint="eastAsia" w:ascii="宋体" w:hAnsi="宋体"/>
          <w:sz w:val="24"/>
          <w:szCs w:val="24"/>
          <w:highlight w:val="none"/>
        </w:rPr>
      </w:pPr>
    </w:p>
    <w:p w14:paraId="42C7F28C">
      <w:pPr>
        <w:rPr>
          <w:rFonts w:hint="eastAsia" w:ascii="宋体" w:hAnsi="宋体"/>
          <w:sz w:val="24"/>
          <w:szCs w:val="24"/>
          <w:highlight w:val="none"/>
        </w:rPr>
      </w:pPr>
    </w:p>
    <w:p w14:paraId="048CC1BA">
      <w:pPr>
        <w:rPr>
          <w:rFonts w:hint="eastAsia" w:ascii="宋体" w:hAnsi="宋体"/>
          <w:sz w:val="24"/>
          <w:szCs w:val="24"/>
          <w:highlight w:val="none"/>
        </w:rPr>
      </w:pPr>
    </w:p>
    <w:p w14:paraId="15DD8A03">
      <w:pPr>
        <w:rPr>
          <w:rFonts w:hint="eastAsia" w:ascii="宋体" w:hAnsi="宋体"/>
          <w:sz w:val="24"/>
          <w:szCs w:val="24"/>
          <w:highlight w:val="none"/>
        </w:rPr>
      </w:pPr>
      <w:r>
        <w:rPr>
          <w:rFonts w:hint="eastAsia" w:ascii="宋体" w:hAnsi="宋体"/>
          <w:sz w:val="24"/>
          <w:szCs w:val="24"/>
          <w:highlight w:val="none"/>
        </w:rPr>
        <w:t xml:space="preserve"> </w:t>
      </w:r>
    </w:p>
    <w:p w14:paraId="1474B78C">
      <w:pPr>
        <w:rPr>
          <w:rFonts w:hint="eastAsia" w:ascii="宋体" w:hAnsi="宋体"/>
          <w:sz w:val="24"/>
          <w:szCs w:val="24"/>
          <w:highlight w:val="none"/>
        </w:rPr>
      </w:pPr>
      <w:r>
        <w:rPr>
          <w:rFonts w:hint="eastAsia" w:ascii="宋体" w:hAnsi="宋体"/>
          <w:sz w:val="24"/>
          <w:szCs w:val="24"/>
          <w:highlight w:val="none"/>
        </w:rPr>
        <w:t xml:space="preserve"> </w:t>
      </w:r>
    </w:p>
    <w:p w14:paraId="3DC33D06">
      <w:pPr>
        <w:rPr>
          <w:rFonts w:hint="eastAsia" w:ascii="宋体" w:hAnsi="宋体"/>
          <w:sz w:val="24"/>
          <w:szCs w:val="24"/>
          <w:highlight w:val="none"/>
        </w:rPr>
      </w:pPr>
      <w:r>
        <w:rPr>
          <w:rFonts w:hint="eastAsia" w:ascii="宋体" w:hAnsi="宋体"/>
          <w:sz w:val="24"/>
          <w:szCs w:val="24"/>
          <w:highlight w:val="none"/>
        </w:rPr>
        <w:t xml:space="preserve"> </w:t>
      </w:r>
    </w:p>
    <w:p w14:paraId="630D9C3E">
      <w:pPr>
        <w:spacing w:line="360" w:lineRule="auto"/>
        <w:ind w:firstLine="600" w:firstLineChars="200"/>
        <w:rPr>
          <w:rFonts w:hint="eastAsia" w:ascii="宋体" w:hAnsi="宋体"/>
          <w:sz w:val="30"/>
          <w:szCs w:val="30"/>
          <w:highlight w:val="none"/>
        </w:rPr>
      </w:pPr>
      <w:r>
        <w:rPr>
          <w:rFonts w:hint="eastAsia" w:ascii="宋体" w:hAnsi="宋体"/>
          <w:sz w:val="30"/>
          <w:szCs w:val="30"/>
          <w:highlight w:val="none"/>
        </w:rPr>
        <w:t>甲     方：中国联合网络通信有限公司</w:t>
      </w:r>
      <w:r>
        <w:rPr>
          <w:rFonts w:hint="eastAsia" w:ascii="宋体" w:hAnsi="宋体"/>
          <w:sz w:val="28"/>
          <w:szCs w:val="28"/>
          <w:highlight w:val="none"/>
          <w:lang w:val="en-US" w:eastAsia="zh-CN"/>
        </w:rPr>
        <w:t>四川省</w:t>
      </w:r>
      <w:r>
        <w:rPr>
          <w:rFonts w:hint="eastAsia" w:ascii="宋体" w:hAnsi="宋体"/>
          <w:sz w:val="30"/>
          <w:szCs w:val="30"/>
          <w:highlight w:val="none"/>
        </w:rPr>
        <w:t>分公司</w:t>
      </w:r>
    </w:p>
    <w:p w14:paraId="397F4E36">
      <w:pPr>
        <w:spacing w:line="360" w:lineRule="auto"/>
        <w:ind w:firstLine="600" w:firstLineChars="200"/>
        <w:rPr>
          <w:rFonts w:hint="default" w:ascii="宋体" w:hAnsi="宋体"/>
          <w:sz w:val="30"/>
          <w:szCs w:val="30"/>
          <w:highlight w:val="none"/>
          <w:lang w:val="en-US"/>
        </w:rPr>
      </w:pPr>
      <w:r>
        <w:rPr>
          <w:rFonts w:hint="eastAsia" w:ascii="宋体" w:hAnsi="宋体"/>
          <w:sz w:val="30"/>
          <w:szCs w:val="30"/>
          <w:highlight w:val="none"/>
        </w:rPr>
        <w:t>乙     方：</w:t>
      </w:r>
      <w:r>
        <w:rPr>
          <w:rFonts w:hint="eastAsia" w:ascii="宋体" w:hAnsi="宋体" w:cs="Times New Roman"/>
          <w:bCs w:val="0"/>
          <w:sz w:val="30"/>
          <w:szCs w:val="30"/>
          <w:highlight w:val="none"/>
          <w:lang w:val="en-US" w:eastAsia="zh-CN"/>
        </w:rPr>
        <w:t>XX</w:t>
      </w:r>
    </w:p>
    <w:p w14:paraId="712F0DFE">
      <w:pPr>
        <w:spacing w:line="360" w:lineRule="auto"/>
        <w:rPr>
          <w:rFonts w:hint="eastAsia" w:ascii="宋体" w:hAnsi="宋体"/>
          <w:sz w:val="30"/>
          <w:szCs w:val="30"/>
          <w:highlight w:val="none"/>
        </w:rPr>
      </w:pPr>
      <w:r>
        <w:rPr>
          <w:rFonts w:hint="eastAsia" w:ascii="宋体" w:hAnsi="宋体"/>
          <w:sz w:val="30"/>
          <w:szCs w:val="30"/>
          <w:highlight w:val="none"/>
        </w:rPr>
        <w:t xml:space="preserve"> </w:t>
      </w:r>
    </w:p>
    <w:p w14:paraId="543112DD">
      <w:pPr>
        <w:jc w:val="center"/>
        <w:rPr>
          <w:rFonts w:hint="eastAsia" w:ascii="宋体" w:hAnsi="宋体"/>
          <w:sz w:val="30"/>
          <w:szCs w:val="30"/>
          <w:highlight w:val="none"/>
        </w:rPr>
      </w:pPr>
      <w:r>
        <w:rPr>
          <w:rFonts w:hint="eastAsia" w:ascii="宋体" w:hAnsi="宋体"/>
          <w:sz w:val="30"/>
          <w:szCs w:val="30"/>
          <w:highlight w:val="none"/>
        </w:rPr>
        <w:t xml:space="preserve"> </w:t>
      </w:r>
    </w:p>
    <w:p w14:paraId="2EB8C24A">
      <w:pPr>
        <w:jc w:val="center"/>
        <w:rPr>
          <w:rFonts w:hint="eastAsia" w:ascii="宋体" w:hAnsi="宋体"/>
          <w:sz w:val="30"/>
          <w:szCs w:val="30"/>
          <w:highlight w:val="none"/>
        </w:rPr>
      </w:pPr>
      <w:r>
        <w:rPr>
          <w:rFonts w:hint="eastAsia" w:ascii="宋体" w:hAnsi="宋体"/>
          <w:sz w:val="30"/>
          <w:szCs w:val="30"/>
          <w:highlight w:val="none"/>
        </w:rPr>
        <w:t xml:space="preserve"> </w:t>
      </w:r>
    </w:p>
    <w:p w14:paraId="19139D08">
      <w:pPr>
        <w:jc w:val="center"/>
        <w:rPr>
          <w:rFonts w:hint="eastAsia" w:ascii="宋体" w:hAnsi="宋体"/>
          <w:sz w:val="30"/>
          <w:szCs w:val="30"/>
          <w:highlight w:val="none"/>
        </w:rPr>
      </w:pPr>
      <w:r>
        <w:rPr>
          <w:rFonts w:hint="eastAsia" w:ascii="宋体" w:hAnsi="宋体"/>
          <w:sz w:val="30"/>
          <w:szCs w:val="30"/>
          <w:highlight w:val="none"/>
        </w:rPr>
        <w:t xml:space="preserve"> </w:t>
      </w:r>
    </w:p>
    <w:p w14:paraId="7F3892B6">
      <w:pPr>
        <w:jc w:val="center"/>
        <w:rPr>
          <w:rFonts w:hint="eastAsia" w:ascii="宋体" w:hAnsi="宋体"/>
          <w:sz w:val="24"/>
          <w:szCs w:val="24"/>
          <w:highlight w:val="none"/>
        </w:rPr>
      </w:pPr>
      <w:r>
        <w:rPr>
          <w:rFonts w:hint="eastAsia" w:ascii="宋体" w:hAnsi="宋体"/>
          <w:sz w:val="30"/>
          <w:szCs w:val="30"/>
          <w:highlight w:val="none"/>
        </w:rPr>
        <w:t xml:space="preserve"> 签订地点：</w:t>
      </w:r>
      <w:r>
        <w:rPr>
          <w:rFonts w:hint="eastAsia" w:ascii="宋体" w:hAnsi="宋体"/>
          <w:sz w:val="30"/>
          <w:szCs w:val="30"/>
          <w:highlight w:val="none"/>
          <w:lang w:val="en-US" w:eastAsia="zh-CN"/>
        </w:rPr>
        <w:t>成都</w:t>
      </w:r>
    </w:p>
    <w:p w14:paraId="54F3CA9B">
      <w:pPr>
        <w:jc w:val="center"/>
        <w:rPr>
          <w:rFonts w:hint="eastAsia" w:ascii="宋体" w:hAnsi="宋体"/>
          <w:sz w:val="24"/>
          <w:szCs w:val="24"/>
          <w:highlight w:val="none"/>
        </w:rPr>
      </w:pPr>
    </w:p>
    <w:p w14:paraId="016E7820">
      <w:pPr>
        <w:jc w:val="center"/>
        <w:rPr>
          <w:rFonts w:hint="eastAsia" w:ascii="宋体" w:hAnsi="宋体"/>
          <w:sz w:val="32"/>
          <w:szCs w:val="32"/>
          <w:highlight w:val="none"/>
        </w:rPr>
      </w:pPr>
      <w:r>
        <w:rPr>
          <w:rFonts w:hint="eastAsia" w:ascii="宋体" w:hAnsi="宋体"/>
          <w:sz w:val="32"/>
          <w:szCs w:val="32"/>
          <w:highlight w:val="none"/>
        </w:rPr>
        <w:t>合  同  目  录</w:t>
      </w:r>
    </w:p>
    <w:p w14:paraId="6537FB29">
      <w:pPr>
        <w:jc w:val="center"/>
        <w:rPr>
          <w:rFonts w:hint="eastAsia" w:ascii="宋体" w:hAnsi="宋体"/>
          <w:sz w:val="32"/>
          <w:szCs w:val="32"/>
          <w:highlight w:val="none"/>
        </w:rPr>
      </w:pPr>
    </w:p>
    <w:p w14:paraId="42D6F008">
      <w:pPr>
        <w:jc w:val="center"/>
        <w:rPr>
          <w:rFonts w:hint="eastAsia" w:ascii="宋体" w:hAnsi="宋体"/>
          <w:sz w:val="32"/>
          <w:szCs w:val="32"/>
          <w:highlight w:val="none"/>
        </w:rPr>
      </w:pPr>
      <w:r>
        <w:rPr>
          <w:rFonts w:hint="eastAsia" w:ascii="宋体" w:hAnsi="宋体"/>
          <w:sz w:val="32"/>
          <w:szCs w:val="32"/>
          <w:highlight w:val="none"/>
        </w:rPr>
        <w:t xml:space="preserve"> </w:t>
      </w:r>
    </w:p>
    <w:p w14:paraId="612F33E4">
      <w:pPr>
        <w:ind w:firstLine="2880" w:firstLineChars="900"/>
        <w:rPr>
          <w:rFonts w:hint="eastAsia" w:ascii="宋体" w:hAnsi="宋体"/>
          <w:sz w:val="32"/>
          <w:szCs w:val="32"/>
          <w:highlight w:val="none"/>
        </w:rPr>
      </w:pPr>
      <w:r>
        <w:rPr>
          <w:rFonts w:hint="eastAsia" w:ascii="宋体" w:hAnsi="宋体"/>
          <w:sz w:val="32"/>
          <w:szCs w:val="32"/>
          <w:highlight w:val="none"/>
        </w:rPr>
        <w:t xml:space="preserve"> </w:t>
      </w:r>
    </w:p>
    <w:p w14:paraId="12E1BB8D">
      <w:pPr>
        <w:jc w:val="left"/>
        <w:rPr>
          <w:rFonts w:hint="eastAsia" w:ascii="宋体" w:hAnsi="宋体"/>
          <w:sz w:val="32"/>
          <w:szCs w:val="32"/>
          <w:highlight w:val="none"/>
        </w:rPr>
      </w:pPr>
      <w:r>
        <w:rPr>
          <w:rFonts w:hint="eastAsia" w:ascii="宋体" w:hAnsi="宋体"/>
          <w:sz w:val="32"/>
          <w:szCs w:val="32"/>
          <w:highlight w:val="none"/>
        </w:rPr>
        <w:t>第一章     签约方</w:t>
      </w:r>
    </w:p>
    <w:p w14:paraId="61A78D13">
      <w:pPr>
        <w:jc w:val="left"/>
        <w:rPr>
          <w:rFonts w:hint="eastAsia" w:ascii="宋体" w:hAnsi="宋体"/>
          <w:sz w:val="32"/>
          <w:szCs w:val="32"/>
          <w:highlight w:val="none"/>
        </w:rPr>
      </w:pPr>
      <w:r>
        <w:rPr>
          <w:rFonts w:hint="eastAsia" w:ascii="宋体" w:hAnsi="宋体"/>
          <w:sz w:val="32"/>
          <w:szCs w:val="32"/>
          <w:highlight w:val="none"/>
        </w:rPr>
        <w:t>第二章     合同标的</w:t>
      </w:r>
    </w:p>
    <w:p w14:paraId="4FF9B06B">
      <w:pPr>
        <w:jc w:val="left"/>
        <w:rPr>
          <w:rFonts w:hint="default" w:ascii="宋体" w:hAnsi="宋体" w:eastAsia="宋体"/>
          <w:sz w:val="32"/>
          <w:szCs w:val="32"/>
          <w:highlight w:val="none"/>
          <w:lang w:val="en-US" w:eastAsia="zh-CN"/>
        </w:rPr>
      </w:pPr>
      <w:r>
        <w:rPr>
          <w:rFonts w:hint="eastAsia" w:ascii="宋体" w:hAnsi="宋体"/>
          <w:sz w:val="32"/>
          <w:szCs w:val="32"/>
          <w:highlight w:val="none"/>
        </w:rPr>
        <w:t>第三章     合同标的价格</w:t>
      </w:r>
      <w:r>
        <w:rPr>
          <w:rFonts w:hint="eastAsia" w:ascii="宋体" w:hAnsi="宋体"/>
          <w:sz w:val="32"/>
          <w:szCs w:val="32"/>
          <w:highlight w:val="none"/>
          <w:lang w:val="en-US" w:eastAsia="zh-CN"/>
        </w:rPr>
        <w:t>及结算</w:t>
      </w:r>
    </w:p>
    <w:p w14:paraId="2B4BECD8">
      <w:pPr>
        <w:jc w:val="left"/>
        <w:rPr>
          <w:rFonts w:hint="default" w:ascii="宋体" w:hAnsi="宋体" w:eastAsia="宋体"/>
          <w:sz w:val="32"/>
          <w:szCs w:val="32"/>
          <w:highlight w:val="none"/>
          <w:lang w:val="en-US" w:eastAsia="zh-CN"/>
        </w:rPr>
      </w:pPr>
      <w:r>
        <w:rPr>
          <w:rFonts w:hint="eastAsia" w:ascii="宋体" w:hAnsi="宋体"/>
          <w:sz w:val="32"/>
          <w:szCs w:val="32"/>
          <w:highlight w:val="none"/>
        </w:rPr>
        <w:t xml:space="preserve">第四章     </w:t>
      </w:r>
      <w:r>
        <w:rPr>
          <w:rFonts w:hint="eastAsia" w:ascii="宋体" w:hAnsi="宋体"/>
          <w:sz w:val="32"/>
          <w:szCs w:val="32"/>
          <w:highlight w:val="none"/>
          <w:lang w:val="en-US" w:eastAsia="zh-CN"/>
        </w:rPr>
        <w:t>实物交接</w:t>
      </w:r>
    </w:p>
    <w:p w14:paraId="48C6FA40">
      <w:pPr>
        <w:jc w:val="left"/>
        <w:rPr>
          <w:rFonts w:hint="default" w:ascii="宋体" w:hAnsi="宋体" w:eastAsia="宋体"/>
          <w:sz w:val="32"/>
          <w:szCs w:val="32"/>
          <w:highlight w:val="none"/>
          <w:lang w:val="en-US" w:eastAsia="zh-CN"/>
        </w:rPr>
      </w:pPr>
      <w:r>
        <w:rPr>
          <w:rFonts w:hint="eastAsia" w:ascii="宋体" w:hAnsi="宋体"/>
          <w:sz w:val="32"/>
          <w:szCs w:val="32"/>
          <w:highlight w:val="none"/>
        </w:rPr>
        <w:t xml:space="preserve">第五章     </w:t>
      </w:r>
      <w:r>
        <w:rPr>
          <w:rFonts w:hint="eastAsia" w:ascii="宋体" w:hAnsi="宋体"/>
          <w:sz w:val="32"/>
          <w:szCs w:val="32"/>
          <w:highlight w:val="none"/>
          <w:lang w:val="en-US" w:eastAsia="zh-CN"/>
        </w:rPr>
        <w:t>权利与义务</w:t>
      </w:r>
    </w:p>
    <w:p w14:paraId="6D9896D6">
      <w:pPr>
        <w:jc w:val="left"/>
        <w:rPr>
          <w:rFonts w:hint="eastAsia" w:ascii="宋体" w:hAnsi="宋体"/>
          <w:sz w:val="32"/>
          <w:szCs w:val="32"/>
          <w:highlight w:val="none"/>
        </w:rPr>
      </w:pPr>
      <w:r>
        <w:rPr>
          <w:rFonts w:hint="eastAsia" w:ascii="宋体" w:hAnsi="宋体"/>
          <w:sz w:val="32"/>
          <w:szCs w:val="32"/>
          <w:highlight w:val="none"/>
        </w:rPr>
        <w:t>第六章     违约及索赔</w:t>
      </w:r>
    </w:p>
    <w:p w14:paraId="1B4C5FD7">
      <w:pPr>
        <w:jc w:val="left"/>
        <w:rPr>
          <w:rFonts w:hint="eastAsia" w:ascii="宋体" w:hAnsi="宋体"/>
          <w:sz w:val="32"/>
          <w:szCs w:val="32"/>
          <w:highlight w:val="none"/>
        </w:rPr>
      </w:pPr>
      <w:r>
        <w:rPr>
          <w:rFonts w:hint="eastAsia" w:ascii="宋体" w:hAnsi="宋体"/>
          <w:sz w:val="32"/>
          <w:szCs w:val="32"/>
          <w:highlight w:val="none"/>
        </w:rPr>
        <w:t>第七章     争议解决</w:t>
      </w:r>
    </w:p>
    <w:p w14:paraId="20D0907D">
      <w:pPr>
        <w:jc w:val="left"/>
        <w:rPr>
          <w:rFonts w:hint="eastAsia" w:ascii="宋体" w:hAnsi="宋体"/>
          <w:sz w:val="32"/>
          <w:szCs w:val="32"/>
          <w:highlight w:val="none"/>
        </w:rPr>
      </w:pPr>
      <w:r>
        <w:rPr>
          <w:rFonts w:hint="eastAsia" w:ascii="宋体" w:hAnsi="宋体"/>
          <w:sz w:val="32"/>
          <w:szCs w:val="32"/>
          <w:highlight w:val="none"/>
        </w:rPr>
        <w:t>第八章     保密规定</w:t>
      </w:r>
    </w:p>
    <w:p w14:paraId="1162FA14">
      <w:pPr>
        <w:jc w:val="left"/>
        <w:rPr>
          <w:rFonts w:hint="eastAsia" w:ascii="宋体" w:hAnsi="宋体"/>
          <w:sz w:val="32"/>
          <w:szCs w:val="32"/>
          <w:highlight w:val="none"/>
        </w:rPr>
      </w:pPr>
      <w:r>
        <w:rPr>
          <w:rFonts w:hint="eastAsia" w:ascii="宋体" w:hAnsi="宋体"/>
          <w:sz w:val="32"/>
          <w:szCs w:val="32"/>
          <w:highlight w:val="none"/>
        </w:rPr>
        <w:t>第九章     合同生效</w:t>
      </w:r>
    </w:p>
    <w:p w14:paraId="65432D16">
      <w:pPr>
        <w:jc w:val="left"/>
        <w:rPr>
          <w:rFonts w:hint="eastAsia" w:ascii="宋体" w:hAnsi="宋体"/>
          <w:sz w:val="32"/>
          <w:szCs w:val="32"/>
          <w:highlight w:val="none"/>
          <w:lang w:val="en-US" w:eastAsia="zh-CN"/>
        </w:rPr>
      </w:pPr>
      <w:r>
        <w:rPr>
          <w:rFonts w:hint="eastAsia" w:ascii="宋体" w:hAnsi="宋体"/>
          <w:sz w:val="32"/>
          <w:szCs w:val="32"/>
          <w:highlight w:val="none"/>
        </w:rPr>
        <w:t xml:space="preserve">第十章     </w:t>
      </w:r>
      <w:r>
        <w:rPr>
          <w:rFonts w:hint="eastAsia" w:ascii="宋体" w:hAnsi="宋体"/>
          <w:sz w:val="32"/>
          <w:szCs w:val="32"/>
          <w:highlight w:val="none"/>
          <w:lang w:val="en-US" w:eastAsia="zh-CN"/>
        </w:rPr>
        <w:t>解除与变更</w:t>
      </w:r>
    </w:p>
    <w:p w14:paraId="7D107ACF">
      <w:pPr>
        <w:jc w:val="left"/>
        <w:rPr>
          <w:rFonts w:hint="default" w:ascii="宋体" w:hAnsi="宋体"/>
          <w:sz w:val="32"/>
          <w:szCs w:val="32"/>
          <w:highlight w:val="none"/>
          <w:lang w:val="en-US" w:eastAsia="zh-CN"/>
        </w:rPr>
      </w:pPr>
      <w:r>
        <w:rPr>
          <w:rFonts w:hint="eastAsia" w:ascii="宋体" w:hAnsi="宋体"/>
          <w:sz w:val="32"/>
          <w:szCs w:val="32"/>
          <w:highlight w:val="none"/>
          <w:lang w:val="en-US" w:eastAsia="zh-CN"/>
        </w:rPr>
        <w:t>第十一章   其他条款</w:t>
      </w:r>
    </w:p>
    <w:p w14:paraId="3B199AE0">
      <w:pPr>
        <w:jc w:val="center"/>
        <w:rPr>
          <w:rFonts w:hint="eastAsia" w:ascii="宋体" w:hAnsi="宋体"/>
          <w:sz w:val="32"/>
          <w:szCs w:val="32"/>
          <w:highlight w:val="none"/>
        </w:rPr>
      </w:pPr>
      <w:r>
        <w:rPr>
          <w:rFonts w:hint="eastAsia" w:ascii="宋体" w:hAnsi="宋体"/>
          <w:sz w:val="32"/>
          <w:szCs w:val="32"/>
          <w:highlight w:val="none"/>
        </w:rPr>
        <w:t xml:space="preserve"> </w:t>
      </w:r>
    </w:p>
    <w:p w14:paraId="2A9586DD">
      <w:pPr>
        <w:jc w:val="center"/>
        <w:rPr>
          <w:rFonts w:hint="eastAsia" w:ascii="宋体" w:hAnsi="宋体"/>
          <w:sz w:val="32"/>
          <w:szCs w:val="32"/>
          <w:highlight w:val="none"/>
        </w:rPr>
      </w:pPr>
      <w:r>
        <w:rPr>
          <w:rFonts w:hint="eastAsia" w:ascii="宋体" w:hAnsi="宋体"/>
          <w:sz w:val="32"/>
          <w:szCs w:val="32"/>
          <w:highlight w:val="none"/>
        </w:rPr>
        <w:t xml:space="preserve"> </w:t>
      </w:r>
    </w:p>
    <w:p w14:paraId="5C35348F">
      <w:pPr>
        <w:jc w:val="center"/>
        <w:rPr>
          <w:rFonts w:hint="eastAsia" w:ascii="宋体" w:hAnsi="宋体"/>
          <w:sz w:val="32"/>
          <w:szCs w:val="32"/>
          <w:highlight w:val="none"/>
        </w:rPr>
      </w:pPr>
      <w:r>
        <w:rPr>
          <w:rFonts w:hint="eastAsia" w:ascii="宋体" w:hAnsi="宋体"/>
          <w:sz w:val="32"/>
          <w:szCs w:val="32"/>
          <w:highlight w:val="none"/>
        </w:rPr>
        <w:t xml:space="preserve"> </w:t>
      </w:r>
    </w:p>
    <w:p w14:paraId="3D85D71E">
      <w:pPr>
        <w:jc w:val="center"/>
        <w:rPr>
          <w:rFonts w:hint="eastAsia" w:ascii="宋体" w:hAnsi="宋体"/>
          <w:sz w:val="32"/>
          <w:szCs w:val="32"/>
          <w:highlight w:val="none"/>
        </w:rPr>
      </w:pPr>
      <w:r>
        <w:rPr>
          <w:rFonts w:hint="eastAsia" w:ascii="宋体" w:hAnsi="宋体"/>
          <w:sz w:val="32"/>
          <w:szCs w:val="32"/>
          <w:highlight w:val="none"/>
        </w:rPr>
        <w:t xml:space="preserve"> </w:t>
      </w:r>
    </w:p>
    <w:p w14:paraId="3D2FDB5E">
      <w:pPr>
        <w:jc w:val="center"/>
        <w:rPr>
          <w:rFonts w:hint="eastAsia" w:ascii="宋体" w:hAnsi="宋体"/>
          <w:sz w:val="32"/>
          <w:szCs w:val="32"/>
          <w:highlight w:val="none"/>
        </w:rPr>
      </w:pPr>
      <w:r>
        <w:rPr>
          <w:rFonts w:hint="eastAsia" w:ascii="宋体" w:hAnsi="宋体"/>
          <w:sz w:val="32"/>
          <w:szCs w:val="32"/>
          <w:highlight w:val="none"/>
        </w:rPr>
        <w:t xml:space="preserve"> </w:t>
      </w:r>
    </w:p>
    <w:p w14:paraId="249A21DA">
      <w:pPr>
        <w:jc w:val="center"/>
        <w:rPr>
          <w:rFonts w:hint="eastAsia" w:ascii="宋体" w:hAnsi="宋体"/>
          <w:sz w:val="32"/>
          <w:szCs w:val="32"/>
          <w:highlight w:val="none"/>
        </w:rPr>
      </w:pPr>
      <w:r>
        <w:rPr>
          <w:rFonts w:hint="eastAsia" w:ascii="宋体" w:hAnsi="宋体"/>
          <w:sz w:val="32"/>
          <w:szCs w:val="32"/>
          <w:highlight w:val="none"/>
        </w:rPr>
        <w:t xml:space="preserve"> </w:t>
      </w:r>
    </w:p>
    <w:p w14:paraId="4EFF65E0">
      <w:pPr>
        <w:jc w:val="center"/>
        <w:rPr>
          <w:rFonts w:hint="eastAsia" w:ascii="宋体" w:hAnsi="宋体"/>
          <w:sz w:val="32"/>
          <w:szCs w:val="32"/>
          <w:highlight w:val="none"/>
        </w:rPr>
      </w:pPr>
      <w:r>
        <w:rPr>
          <w:rFonts w:hint="eastAsia" w:ascii="宋体" w:hAnsi="宋体"/>
          <w:sz w:val="32"/>
          <w:szCs w:val="32"/>
          <w:highlight w:val="none"/>
        </w:rPr>
        <w:t xml:space="preserve"> </w:t>
      </w:r>
    </w:p>
    <w:p w14:paraId="2A0B5B78">
      <w:pPr>
        <w:spacing w:line="600" w:lineRule="exact"/>
        <w:ind w:firstLine="560" w:firstLineChars="200"/>
        <w:rPr>
          <w:rFonts w:hint="eastAsia" w:ascii="宋体" w:hAnsi="宋体"/>
          <w:sz w:val="28"/>
          <w:szCs w:val="28"/>
          <w:highlight w:val="none"/>
        </w:rPr>
      </w:pPr>
      <w:r>
        <w:rPr>
          <w:rFonts w:hint="eastAsia" w:ascii="宋体" w:hAnsi="宋体"/>
          <w:sz w:val="28"/>
          <w:szCs w:val="28"/>
          <w:highlight w:val="none"/>
        </w:rPr>
        <w:t xml:space="preserve"> 中国联合网络通信有限公</w:t>
      </w:r>
      <w:r>
        <w:rPr>
          <w:rFonts w:hint="eastAsia" w:ascii="宋体" w:hAnsi="宋体"/>
          <w:sz w:val="28"/>
          <w:szCs w:val="28"/>
          <w:highlight w:val="none"/>
          <w:lang w:val="en-US" w:eastAsia="zh-CN"/>
        </w:rPr>
        <w:t>司21个地市州</w:t>
      </w:r>
      <w:r>
        <w:rPr>
          <w:rFonts w:hint="eastAsia" w:ascii="宋体" w:hAnsi="宋体"/>
          <w:sz w:val="28"/>
          <w:szCs w:val="28"/>
          <w:highlight w:val="none"/>
        </w:rPr>
        <w:t>分公司是中国联合网络通信有限公司四川省分公司的分支机构，相关款项由中国联合网络通信有限公司四川省分公司统一收取。</w:t>
      </w:r>
    </w:p>
    <w:p w14:paraId="7763FF62">
      <w:pPr>
        <w:spacing w:line="600" w:lineRule="exact"/>
        <w:ind w:firstLine="560" w:firstLineChars="200"/>
        <w:rPr>
          <w:rFonts w:hint="eastAsia" w:ascii="宋体" w:hAnsi="宋体"/>
          <w:sz w:val="28"/>
          <w:szCs w:val="28"/>
          <w:highlight w:val="none"/>
        </w:rPr>
      </w:pPr>
      <w:r>
        <w:rPr>
          <w:rFonts w:hint="eastAsia" w:ascii="宋体" w:hAnsi="宋体"/>
          <w:sz w:val="28"/>
          <w:szCs w:val="28"/>
          <w:highlight w:val="none"/>
        </w:rPr>
        <w:t>在平等互惠、互相支持、共同发展的基础上，依据国家《中华人民共和国民法典》和相关法律规定，双方经过充分协商，共同签订本合同，并按照本合同约定的条款享受权利、履行义务并承担责任。</w:t>
      </w:r>
    </w:p>
    <w:p w14:paraId="625809FB">
      <w:pPr>
        <w:spacing w:line="600" w:lineRule="exact"/>
        <w:ind w:firstLine="560" w:firstLineChars="200"/>
        <w:rPr>
          <w:rFonts w:hint="eastAsia" w:ascii="宋体" w:hAnsi="宋体"/>
          <w:sz w:val="28"/>
          <w:szCs w:val="28"/>
          <w:highlight w:val="none"/>
        </w:rPr>
      </w:pPr>
      <w:r>
        <w:rPr>
          <w:rFonts w:hint="eastAsia" w:ascii="宋体" w:hAnsi="宋体"/>
          <w:sz w:val="28"/>
          <w:szCs w:val="28"/>
          <w:highlight w:val="none"/>
        </w:rPr>
        <w:t xml:space="preserve"> </w:t>
      </w:r>
    </w:p>
    <w:p w14:paraId="3D8ACD00">
      <w:pPr>
        <w:pStyle w:val="5"/>
        <w:widowControl/>
        <w:numPr>
          <w:ilvl w:val="0"/>
          <w:numId w:val="1"/>
        </w:numPr>
        <w:spacing w:line="600" w:lineRule="exact"/>
        <w:ind w:firstLineChars="0"/>
        <w:jc w:val="center"/>
        <w:rPr>
          <w:rFonts w:hint="eastAsia" w:ascii="宋体" w:hAnsi="宋体"/>
          <w:b/>
          <w:bCs/>
          <w:sz w:val="28"/>
          <w:szCs w:val="28"/>
          <w:highlight w:val="none"/>
        </w:rPr>
      </w:pPr>
      <w:r>
        <w:rPr>
          <w:rFonts w:hint="eastAsia" w:ascii="宋体" w:hAnsi="宋体"/>
          <w:b/>
          <w:bCs/>
          <w:sz w:val="28"/>
          <w:szCs w:val="28"/>
          <w:highlight w:val="none"/>
        </w:rPr>
        <w:t>签约方</w:t>
      </w:r>
    </w:p>
    <w:p w14:paraId="7E542C7B">
      <w:pPr>
        <w:pStyle w:val="5"/>
        <w:widowControl/>
        <w:spacing w:line="600" w:lineRule="exact"/>
        <w:ind w:left="1230" w:firstLine="0" w:firstLineChars="0"/>
        <w:rPr>
          <w:rFonts w:hint="eastAsia" w:ascii="宋体" w:hAnsi="宋体"/>
          <w:b/>
          <w:bCs/>
          <w:sz w:val="28"/>
          <w:szCs w:val="28"/>
          <w:highlight w:val="none"/>
        </w:rPr>
      </w:pPr>
      <w:r>
        <w:rPr>
          <w:rFonts w:hint="eastAsia" w:ascii="宋体" w:hAnsi="宋体"/>
          <w:b/>
          <w:bCs/>
          <w:sz w:val="28"/>
          <w:szCs w:val="28"/>
          <w:highlight w:val="none"/>
        </w:rPr>
        <w:t xml:space="preserve"> </w:t>
      </w:r>
    </w:p>
    <w:p w14:paraId="5E1F5767">
      <w:pPr>
        <w:spacing w:line="600" w:lineRule="exact"/>
        <w:rPr>
          <w:rFonts w:hint="eastAsia" w:ascii="宋体" w:hAnsi="宋体"/>
          <w:sz w:val="28"/>
          <w:szCs w:val="28"/>
          <w:highlight w:val="none"/>
        </w:rPr>
      </w:pPr>
      <w:r>
        <w:rPr>
          <w:rFonts w:hint="eastAsia" w:ascii="宋体" w:hAnsi="宋体"/>
          <w:sz w:val="28"/>
          <w:szCs w:val="28"/>
          <w:highlight w:val="none"/>
        </w:rPr>
        <w:t>甲方： 中国联合网络通信有限公司</w:t>
      </w:r>
      <w:r>
        <w:rPr>
          <w:rFonts w:hint="eastAsia" w:ascii="宋体" w:hAnsi="宋体"/>
          <w:sz w:val="28"/>
          <w:szCs w:val="28"/>
          <w:highlight w:val="none"/>
          <w:lang w:val="en-US" w:eastAsia="zh-CN"/>
        </w:rPr>
        <w:t>四川省</w:t>
      </w:r>
      <w:r>
        <w:rPr>
          <w:rFonts w:hint="eastAsia" w:ascii="宋体" w:hAnsi="宋体"/>
          <w:sz w:val="28"/>
          <w:szCs w:val="28"/>
          <w:highlight w:val="none"/>
        </w:rPr>
        <w:t>分公司</w:t>
      </w:r>
    </w:p>
    <w:p w14:paraId="2629EACD">
      <w:pPr>
        <w:spacing w:line="600" w:lineRule="exact"/>
        <w:rPr>
          <w:rFonts w:hint="default" w:ascii="宋体" w:hAnsi="宋体" w:eastAsia="宋体"/>
          <w:sz w:val="28"/>
          <w:szCs w:val="28"/>
          <w:highlight w:val="none"/>
          <w:lang w:val="en-US" w:eastAsia="zh-CN"/>
        </w:rPr>
      </w:pPr>
      <w:r>
        <w:rPr>
          <w:rFonts w:hint="eastAsia" w:ascii="宋体" w:hAnsi="宋体"/>
          <w:sz w:val="28"/>
          <w:szCs w:val="28"/>
          <w:highlight w:val="none"/>
        </w:rPr>
        <w:t xml:space="preserve">法定代表人/负责人： </w:t>
      </w:r>
      <w:r>
        <w:rPr>
          <w:rFonts w:hint="eastAsia" w:ascii="宋体" w:hAnsi="宋体"/>
          <w:sz w:val="28"/>
          <w:szCs w:val="28"/>
          <w:highlight w:val="none"/>
          <w:lang w:val="en-US" w:eastAsia="zh-CN"/>
        </w:rPr>
        <w:t>谭明</w:t>
      </w:r>
    </w:p>
    <w:p w14:paraId="39492981">
      <w:pPr>
        <w:spacing w:line="600" w:lineRule="exact"/>
        <w:rPr>
          <w:rFonts w:hint="default" w:ascii="宋体" w:hAnsi="宋体" w:eastAsia="宋体"/>
          <w:sz w:val="28"/>
          <w:szCs w:val="28"/>
          <w:highlight w:val="none"/>
          <w:lang w:val="en-US" w:eastAsia="zh-CN"/>
        </w:rPr>
      </w:pPr>
      <w:r>
        <w:rPr>
          <w:rFonts w:hint="eastAsia" w:ascii="宋体" w:hAnsi="宋体"/>
          <w:sz w:val="28"/>
          <w:szCs w:val="28"/>
          <w:highlight w:val="none"/>
        </w:rPr>
        <w:t xml:space="preserve">住所： </w:t>
      </w:r>
      <w:r>
        <w:rPr>
          <w:rFonts w:hint="eastAsia" w:ascii="宋体" w:hAnsi="宋体"/>
          <w:sz w:val="28"/>
          <w:szCs w:val="28"/>
          <w:highlight w:val="none"/>
          <w:lang w:val="en-US" w:eastAsia="zh-CN"/>
        </w:rPr>
        <w:t>成都高新区桂溪乡和平村</w:t>
      </w:r>
    </w:p>
    <w:p w14:paraId="41EE6339">
      <w:pPr>
        <w:spacing w:line="600" w:lineRule="exact"/>
        <w:rPr>
          <w:rFonts w:hint="eastAsia" w:ascii="宋体" w:hAnsi="宋体"/>
          <w:sz w:val="28"/>
          <w:szCs w:val="28"/>
          <w:highlight w:val="none"/>
        </w:rPr>
      </w:pPr>
      <w:r>
        <w:rPr>
          <w:rFonts w:hint="eastAsia" w:ascii="宋体" w:hAnsi="宋体"/>
          <w:sz w:val="28"/>
          <w:szCs w:val="28"/>
          <w:highlight w:val="none"/>
        </w:rPr>
        <w:t>电传或传真：</w:t>
      </w:r>
      <w:r>
        <w:rPr>
          <w:rFonts w:hint="eastAsia" w:ascii="宋体" w:hAnsi="宋体"/>
          <w:sz w:val="28"/>
          <w:szCs w:val="28"/>
          <w:highlight w:val="none"/>
          <w:lang w:val="en-US" w:eastAsia="zh-CN"/>
        </w:rPr>
        <w:t>02882838420</w:t>
      </w:r>
    </w:p>
    <w:p w14:paraId="3453B40B">
      <w:pPr>
        <w:rPr>
          <w:rFonts w:hint="eastAsia" w:ascii="宋体" w:hAnsi="宋体"/>
          <w:sz w:val="28"/>
          <w:szCs w:val="28"/>
          <w:highlight w:val="none"/>
        </w:rPr>
      </w:pPr>
      <w:r>
        <w:rPr>
          <w:rFonts w:hint="eastAsia" w:ascii="宋体" w:hAnsi="宋体"/>
          <w:sz w:val="28"/>
          <w:szCs w:val="28"/>
          <w:highlight w:val="none"/>
        </w:rPr>
        <w:t xml:space="preserve"> </w:t>
      </w:r>
    </w:p>
    <w:p w14:paraId="6AE02E83">
      <w:pPr>
        <w:rPr>
          <w:rFonts w:hint="eastAsia" w:ascii="宋体" w:hAnsi="宋体"/>
          <w:sz w:val="28"/>
          <w:szCs w:val="28"/>
          <w:highlight w:val="none"/>
        </w:rPr>
      </w:pPr>
      <w:r>
        <w:rPr>
          <w:rFonts w:hint="eastAsia" w:ascii="宋体" w:hAnsi="宋体"/>
          <w:sz w:val="28"/>
          <w:szCs w:val="28"/>
          <w:highlight w:val="none"/>
        </w:rPr>
        <w:t>乙方：</w:t>
      </w:r>
      <w:r>
        <w:rPr>
          <w:rFonts w:hint="eastAsia" w:ascii="宋体" w:hAnsi="宋体" w:cs="Times New Roman"/>
          <w:bCs w:val="0"/>
          <w:sz w:val="30"/>
          <w:szCs w:val="30"/>
          <w:highlight w:val="none"/>
          <w:lang w:val="en-US" w:eastAsia="zh-CN"/>
        </w:rPr>
        <w:t>XX</w:t>
      </w:r>
      <w:r>
        <w:rPr>
          <w:rFonts w:hint="eastAsia" w:ascii="宋体" w:hAnsi="宋体"/>
          <w:sz w:val="28"/>
          <w:szCs w:val="28"/>
          <w:highlight w:val="none"/>
        </w:rPr>
        <w:t xml:space="preserve">                   </w:t>
      </w:r>
    </w:p>
    <w:p w14:paraId="0DA1A2FE">
      <w:pPr>
        <w:spacing w:line="600" w:lineRule="exact"/>
        <w:rPr>
          <w:rFonts w:hint="default" w:ascii="宋体" w:hAnsi="宋体" w:eastAsia="宋体"/>
          <w:sz w:val="28"/>
          <w:szCs w:val="28"/>
          <w:highlight w:val="none"/>
          <w:lang w:val="en-US" w:eastAsia="zh-CN"/>
        </w:rPr>
      </w:pPr>
      <w:r>
        <w:rPr>
          <w:rFonts w:hint="eastAsia" w:ascii="宋体" w:hAnsi="宋体"/>
          <w:sz w:val="28"/>
          <w:szCs w:val="28"/>
          <w:highlight w:val="none"/>
        </w:rPr>
        <w:t>法定代表人：</w:t>
      </w:r>
      <w:r>
        <w:rPr>
          <w:rFonts w:hint="eastAsia" w:ascii="宋体" w:hAnsi="宋体"/>
          <w:sz w:val="28"/>
          <w:szCs w:val="28"/>
          <w:highlight w:val="none"/>
          <w:lang w:val="en-US" w:eastAsia="zh-CN"/>
        </w:rPr>
        <w:t>XX</w:t>
      </w:r>
    </w:p>
    <w:p w14:paraId="7458DE7F">
      <w:pPr>
        <w:spacing w:line="600" w:lineRule="exact"/>
        <w:rPr>
          <w:rFonts w:hint="eastAsia" w:ascii="宋体" w:hAnsi="宋体"/>
          <w:sz w:val="28"/>
          <w:szCs w:val="28"/>
          <w:highlight w:val="none"/>
        </w:rPr>
      </w:pPr>
      <w:r>
        <w:rPr>
          <w:rFonts w:hint="eastAsia" w:ascii="宋体" w:hAnsi="宋体"/>
          <w:sz w:val="28"/>
          <w:szCs w:val="28"/>
          <w:highlight w:val="none"/>
        </w:rPr>
        <w:t>住所：</w:t>
      </w:r>
    </w:p>
    <w:p w14:paraId="70CF3860">
      <w:pPr>
        <w:spacing w:line="600" w:lineRule="exact"/>
        <w:rPr>
          <w:rFonts w:hint="eastAsia" w:ascii="宋体" w:hAnsi="宋体"/>
          <w:sz w:val="28"/>
          <w:szCs w:val="28"/>
          <w:highlight w:val="none"/>
        </w:rPr>
      </w:pPr>
    </w:p>
    <w:p w14:paraId="5C71BE8B">
      <w:pPr>
        <w:pStyle w:val="5"/>
        <w:widowControl/>
        <w:numPr>
          <w:ilvl w:val="0"/>
          <w:numId w:val="1"/>
        </w:numPr>
        <w:spacing w:line="600" w:lineRule="exact"/>
        <w:ind w:firstLineChars="0"/>
        <w:jc w:val="center"/>
        <w:rPr>
          <w:rFonts w:hint="eastAsia" w:ascii="宋体" w:hAnsi="宋体"/>
          <w:b/>
          <w:bCs/>
          <w:sz w:val="28"/>
          <w:szCs w:val="28"/>
          <w:highlight w:val="none"/>
        </w:rPr>
      </w:pPr>
      <w:r>
        <w:rPr>
          <w:rFonts w:hint="eastAsia" w:ascii="宋体" w:hAnsi="宋体"/>
          <w:b/>
          <w:bCs/>
          <w:sz w:val="28"/>
          <w:szCs w:val="28"/>
          <w:highlight w:val="none"/>
        </w:rPr>
        <w:t>合同标的</w:t>
      </w:r>
    </w:p>
    <w:p w14:paraId="69223415">
      <w:pPr>
        <w:pStyle w:val="5"/>
        <w:widowControl/>
        <w:spacing w:line="600" w:lineRule="exact"/>
        <w:ind w:left="1230" w:firstLine="0" w:firstLineChars="0"/>
        <w:rPr>
          <w:rFonts w:hint="eastAsia" w:ascii="宋体" w:hAnsi="宋体"/>
          <w:b/>
          <w:bCs/>
          <w:sz w:val="28"/>
          <w:szCs w:val="28"/>
          <w:highlight w:val="none"/>
        </w:rPr>
      </w:pPr>
      <w:r>
        <w:rPr>
          <w:rFonts w:hint="eastAsia" w:ascii="宋体" w:hAnsi="宋体"/>
          <w:b/>
          <w:bCs/>
          <w:sz w:val="28"/>
          <w:szCs w:val="28"/>
          <w:highlight w:val="none"/>
        </w:rPr>
        <w:t xml:space="preserve"> </w:t>
      </w:r>
    </w:p>
    <w:p w14:paraId="4FDBE748">
      <w:pPr>
        <w:pStyle w:val="6"/>
        <w:widowControl/>
        <w:numPr>
          <w:ilvl w:val="0"/>
          <w:numId w:val="2"/>
        </w:numPr>
        <w:rPr>
          <w:rFonts w:hint="eastAsia"/>
          <w:highlight w:val="none"/>
        </w:rPr>
      </w:pPr>
      <w:r>
        <w:rPr>
          <w:rFonts w:hint="eastAsia"/>
          <w:highlight w:val="none"/>
        </w:rPr>
        <w:t>合同标的：</w:t>
      </w:r>
      <w:r>
        <w:rPr>
          <w:rFonts w:hint="eastAsia"/>
          <w:highlight w:val="none"/>
          <w:lang w:val="en-US" w:eastAsia="zh-CN"/>
        </w:rPr>
        <w:t>四川联通2026年预报废蓄电池按2V*Ah换算容量1300万Ah（其中：2V规格电池1120万Ah，12V规格电池186万Ah）</w:t>
      </w:r>
      <w:r>
        <w:rPr>
          <w:rFonts w:hint="eastAsia"/>
          <w:highlight w:val="none"/>
        </w:rPr>
        <w:t>。</w:t>
      </w:r>
    </w:p>
    <w:p w14:paraId="22F5CB80">
      <w:pPr>
        <w:pStyle w:val="6"/>
        <w:widowControl/>
        <w:numPr>
          <w:ilvl w:val="0"/>
          <w:numId w:val="2"/>
        </w:numPr>
        <w:rPr>
          <w:rFonts w:hint="eastAsia"/>
          <w:highlight w:val="none"/>
        </w:rPr>
      </w:pPr>
      <w:r>
        <w:rPr>
          <w:rFonts w:hint="eastAsia"/>
          <w:highlight w:val="none"/>
        </w:rPr>
        <w:t>甲方同意向乙方出售四川联通</w:t>
      </w:r>
      <w:r>
        <w:rPr>
          <w:rFonts w:hint="eastAsia"/>
          <w:highlight w:val="none"/>
          <w:lang w:val="en-US" w:eastAsia="zh-CN"/>
        </w:rPr>
        <w:t>21个地市</w:t>
      </w:r>
      <w:r>
        <w:rPr>
          <w:rFonts w:hint="eastAsia"/>
          <w:highlight w:val="none"/>
        </w:rPr>
        <w:t>分公司报废</w:t>
      </w:r>
      <w:r>
        <w:rPr>
          <w:rFonts w:hint="eastAsia"/>
          <w:highlight w:val="none"/>
          <w:lang w:val="en-US" w:eastAsia="zh-CN"/>
        </w:rPr>
        <w:t>蓄电池预计1120万Ah</w:t>
      </w:r>
      <w:r>
        <w:rPr>
          <w:rFonts w:hint="eastAsia"/>
          <w:highlight w:val="none"/>
        </w:rPr>
        <w:t>（</w:t>
      </w:r>
      <w:r>
        <w:rPr>
          <w:rFonts w:hint="eastAsia"/>
          <w:highlight w:val="none"/>
          <w:lang w:val="en-US" w:eastAsia="zh-CN"/>
        </w:rPr>
        <w:t>各地市分公司具体数量根据实际报废情况确定，全省总量不超过186万Ah</w:t>
      </w:r>
      <w:r>
        <w:rPr>
          <w:rFonts w:hint="eastAsia"/>
          <w:highlight w:val="none"/>
        </w:rPr>
        <w:t>），乙方同意向甲方收购本次处置范围内的报废</w:t>
      </w:r>
      <w:r>
        <w:rPr>
          <w:rFonts w:hint="eastAsia"/>
          <w:highlight w:val="none"/>
          <w:lang w:val="en-US" w:eastAsia="zh-CN"/>
        </w:rPr>
        <w:t>蓄电池</w:t>
      </w:r>
      <w:r>
        <w:rPr>
          <w:rFonts w:hint="eastAsia"/>
          <w:highlight w:val="none"/>
        </w:rPr>
        <w:t>。</w:t>
      </w:r>
    </w:p>
    <w:p w14:paraId="75F99BD7">
      <w:pPr>
        <w:pStyle w:val="6"/>
        <w:widowControl/>
        <w:numPr>
          <w:ilvl w:val="0"/>
          <w:numId w:val="2"/>
        </w:numPr>
        <w:jc w:val="left"/>
        <w:rPr>
          <w:rFonts w:hint="eastAsia"/>
          <w:highlight w:val="none"/>
        </w:rPr>
      </w:pPr>
      <w:r>
        <w:rPr>
          <w:rFonts w:hint="eastAsia"/>
          <w:highlight w:val="none"/>
        </w:rPr>
        <w:t>乙方知悉且同意，本合同所述的报废物资均为甲方因过期、技术淘汰、生产中已不再需要、无使用和转让价值的</w:t>
      </w:r>
      <w:r>
        <w:rPr>
          <w:rFonts w:hint="eastAsia"/>
          <w:highlight w:val="none"/>
          <w:lang w:val="en-US" w:eastAsia="zh-CN"/>
        </w:rPr>
        <w:t>报废</w:t>
      </w:r>
      <w:r>
        <w:rPr>
          <w:rFonts w:hint="eastAsia"/>
          <w:highlight w:val="none"/>
        </w:rPr>
        <w:t>物资和固定资产。报废</w:t>
      </w:r>
      <w:r>
        <w:rPr>
          <w:rFonts w:hint="eastAsia"/>
          <w:highlight w:val="none"/>
          <w:lang w:val="en-US" w:eastAsia="zh-CN"/>
        </w:rPr>
        <w:t>物资</w:t>
      </w:r>
      <w:r>
        <w:rPr>
          <w:rFonts w:hint="eastAsia"/>
          <w:highlight w:val="none"/>
        </w:rPr>
        <w:t>不具有一般新商品的特性，以其实际的生产状态为准。</w:t>
      </w:r>
    </w:p>
    <w:p w14:paraId="5486410C">
      <w:pPr>
        <w:spacing w:line="600" w:lineRule="exact"/>
        <w:ind w:left="840" w:hanging="840" w:hangingChars="300"/>
        <w:rPr>
          <w:rFonts w:hint="eastAsia" w:ascii="宋体" w:hAnsi="宋体"/>
          <w:sz w:val="28"/>
          <w:szCs w:val="28"/>
          <w:highlight w:val="none"/>
        </w:rPr>
      </w:pPr>
      <w:r>
        <w:rPr>
          <w:rFonts w:hint="eastAsia" w:ascii="宋体" w:hAnsi="宋体"/>
          <w:sz w:val="28"/>
          <w:szCs w:val="28"/>
          <w:highlight w:val="none"/>
        </w:rPr>
        <w:t xml:space="preserve"> </w:t>
      </w:r>
    </w:p>
    <w:p w14:paraId="0BEF4F6C">
      <w:pPr>
        <w:spacing w:line="600" w:lineRule="exact"/>
        <w:ind w:left="843" w:hanging="843" w:hangingChars="300"/>
        <w:jc w:val="center"/>
        <w:rPr>
          <w:rFonts w:hint="eastAsia" w:ascii="宋体" w:hAnsi="宋体"/>
          <w:b/>
          <w:bCs/>
          <w:sz w:val="28"/>
          <w:szCs w:val="28"/>
          <w:highlight w:val="none"/>
        </w:rPr>
      </w:pPr>
      <w:r>
        <w:rPr>
          <w:rFonts w:hint="eastAsia" w:ascii="宋体" w:hAnsi="宋体"/>
          <w:b/>
          <w:bCs/>
          <w:sz w:val="28"/>
          <w:szCs w:val="28"/>
          <w:highlight w:val="none"/>
        </w:rPr>
        <w:t xml:space="preserve">第三章  </w:t>
      </w:r>
      <w:r>
        <w:rPr>
          <w:rFonts w:hint="eastAsia" w:ascii="宋体" w:hAnsi="宋体"/>
          <w:b/>
          <w:bCs/>
          <w:sz w:val="28"/>
          <w:szCs w:val="28"/>
          <w:highlight w:val="none"/>
          <w:lang w:val="en-US" w:eastAsia="zh-CN"/>
        </w:rPr>
        <w:t>合同标的价格</w:t>
      </w:r>
      <w:r>
        <w:rPr>
          <w:rFonts w:hint="eastAsia" w:ascii="宋体" w:hAnsi="宋体"/>
          <w:b/>
          <w:bCs/>
          <w:sz w:val="28"/>
          <w:szCs w:val="28"/>
          <w:highlight w:val="none"/>
        </w:rPr>
        <w:t>及结算</w:t>
      </w:r>
    </w:p>
    <w:p w14:paraId="0C63CC58">
      <w:pPr>
        <w:spacing w:line="600" w:lineRule="exact"/>
        <w:ind w:firstLine="2660" w:firstLineChars="950"/>
        <w:rPr>
          <w:rFonts w:hint="eastAsia" w:ascii="宋体" w:hAnsi="宋体"/>
          <w:sz w:val="28"/>
          <w:szCs w:val="28"/>
          <w:highlight w:val="none"/>
        </w:rPr>
      </w:pPr>
      <w:r>
        <w:rPr>
          <w:rFonts w:hint="eastAsia" w:ascii="宋体" w:hAnsi="宋体"/>
          <w:sz w:val="28"/>
          <w:szCs w:val="28"/>
          <w:highlight w:val="none"/>
        </w:rPr>
        <w:t xml:space="preserve"> </w:t>
      </w:r>
    </w:p>
    <w:p w14:paraId="3D8649AC">
      <w:pPr>
        <w:pStyle w:val="6"/>
        <w:widowControl/>
        <w:numPr>
          <w:ilvl w:val="0"/>
          <w:numId w:val="3"/>
        </w:numPr>
        <w:rPr>
          <w:rFonts w:hint="eastAsia"/>
          <w:highlight w:val="none"/>
        </w:rPr>
      </w:pPr>
      <w:r>
        <w:rPr>
          <w:rFonts w:hint="eastAsia"/>
          <w:highlight w:val="none"/>
        </w:rPr>
        <w:t xml:space="preserve"> 合同</w:t>
      </w:r>
      <w:r>
        <w:rPr>
          <w:rFonts w:hint="eastAsia"/>
          <w:highlight w:val="none"/>
          <w:lang w:val="en-US" w:eastAsia="zh-CN"/>
        </w:rPr>
        <w:t>上限含税</w:t>
      </w:r>
      <w:r>
        <w:rPr>
          <w:rFonts w:hint="eastAsia"/>
          <w:highlight w:val="none"/>
        </w:rPr>
        <w:t>金额：人民币</w:t>
      </w:r>
      <w:r>
        <w:rPr>
          <w:rFonts w:hint="eastAsia"/>
          <w:highlight w:val="none"/>
          <w:lang w:val="en-US" w:eastAsia="zh-CN"/>
        </w:rPr>
        <w:t>XX</w:t>
      </w:r>
      <w:r>
        <w:rPr>
          <w:rFonts w:hint="eastAsia"/>
          <w:highlight w:val="none"/>
        </w:rPr>
        <w:t>元（大写：人民币</w:t>
      </w:r>
      <w:r>
        <w:rPr>
          <w:rFonts w:hint="eastAsia"/>
          <w:highlight w:val="none"/>
          <w:lang w:val="en-US" w:eastAsia="zh-CN"/>
        </w:rPr>
        <w:t>玖佰叁拾陆万伍仟</w:t>
      </w:r>
      <w:r>
        <w:rPr>
          <w:rFonts w:hint="eastAsia"/>
          <w:highlight w:val="none"/>
        </w:rPr>
        <w:t>元整），其中净价为</w:t>
      </w:r>
      <w:r>
        <w:rPr>
          <w:rFonts w:hint="eastAsia"/>
          <w:highlight w:val="none"/>
          <w:lang w:val="en-US" w:eastAsia="zh-CN"/>
        </w:rPr>
        <w:t>XX</w:t>
      </w:r>
      <w:r>
        <w:rPr>
          <w:rFonts w:hint="eastAsia"/>
          <w:highlight w:val="none"/>
        </w:rPr>
        <w:t>元，适用增值税税率为</w:t>
      </w:r>
      <w:r>
        <w:rPr>
          <w:rFonts w:hint="eastAsia"/>
          <w:highlight w:val="none"/>
          <w:lang w:val="en-US" w:eastAsia="zh-CN"/>
        </w:rPr>
        <w:t>13</w:t>
      </w:r>
      <w:r>
        <w:rPr>
          <w:rFonts w:hint="eastAsia"/>
          <w:highlight w:val="none"/>
        </w:rPr>
        <w:t>%，税额为</w:t>
      </w:r>
      <w:r>
        <w:rPr>
          <w:rFonts w:hint="eastAsia"/>
          <w:highlight w:val="none"/>
          <w:lang w:val="en-US" w:eastAsia="zh-CN"/>
        </w:rPr>
        <w:t>XX</w:t>
      </w:r>
      <w:r>
        <w:rPr>
          <w:rFonts w:hint="eastAsia"/>
          <w:highlight w:val="none"/>
        </w:rPr>
        <w:t>元</w:t>
      </w:r>
      <w:r>
        <w:rPr>
          <w:rFonts w:hint="eastAsia"/>
          <w:highlight w:val="none"/>
          <w:lang w:eastAsia="zh-CN"/>
        </w:rPr>
        <w:t>，</w:t>
      </w:r>
      <w:r>
        <w:rPr>
          <w:rFonts w:hint="eastAsia"/>
          <w:highlight w:val="none"/>
          <w:lang w:val="en-US" w:eastAsia="zh-CN"/>
        </w:rPr>
        <w:t>合同执行金额以合同期内实际交接情况为准</w:t>
      </w:r>
      <w:r>
        <w:rPr>
          <w:rFonts w:hint="eastAsia"/>
          <w:highlight w:val="none"/>
        </w:rPr>
        <w:t>。</w:t>
      </w:r>
    </w:p>
    <w:p w14:paraId="28FEA883">
      <w:pPr>
        <w:pStyle w:val="6"/>
        <w:widowControl/>
        <w:numPr>
          <w:ilvl w:val="0"/>
          <w:numId w:val="3"/>
        </w:numPr>
        <w:rPr>
          <w:rFonts w:hint="eastAsia"/>
          <w:highlight w:val="none"/>
          <w:lang w:val="en-US" w:eastAsia="zh-CN"/>
        </w:rPr>
      </w:pPr>
      <w:r>
        <w:rPr>
          <w:rFonts w:hint="eastAsia"/>
          <w:highlight w:val="none"/>
          <w:lang w:val="en-US" w:eastAsia="zh-CN"/>
        </w:rPr>
        <w:t>合同签订生效后5日内，乙方一次性支付合同总金额的10%作为履约保证金，保证金额为XX元（大写：人民币XX整）。</w:t>
      </w:r>
    </w:p>
    <w:p w14:paraId="23F7879E">
      <w:pPr>
        <w:pStyle w:val="6"/>
        <w:widowControl/>
        <w:numPr>
          <w:ilvl w:val="0"/>
          <w:numId w:val="3"/>
        </w:numPr>
        <w:rPr>
          <w:rFonts w:hint="eastAsia"/>
          <w:highlight w:val="none"/>
          <w:lang w:val="en-US" w:eastAsia="zh-CN"/>
        </w:rPr>
      </w:pPr>
      <w:r>
        <w:rPr>
          <w:rFonts w:hint="eastAsia"/>
          <w:highlight w:val="none"/>
          <w:lang w:val="en-US" w:eastAsia="zh-CN"/>
        </w:rPr>
        <w:t>乙方协助甲方根据签订的合同的预估处置数量按年度向环保部门提交办理转运申请手续，并严格按照《中华人民共和国固体废物污染环境防治法》要求进行蓄电池收集、运输、存储及处理。</w:t>
      </w:r>
    </w:p>
    <w:p w14:paraId="505C34BC">
      <w:pPr>
        <w:pStyle w:val="6"/>
        <w:widowControl/>
        <w:numPr>
          <w:ilvl w:val="0"/>
          <w:numId w:val="3"/>
        </w:numPr>
        <w:rPr>
          <w:rFonts w:hint="eastAsia"/>
          <w:highlight w:val="none"/>
          <w:lang w:val="en-US" w:eastAsia="zh-CN"/>
        </w:rPr>
      </w:pPr>
      <w:r>
        <w:rPr>
          <w:rFonts w:hint="eastAsia"/>
          <w:highlight w:val="none"/>
          <w:lang w:val="en-US" w:eastAsia="zh-CN"/>
        </w:rPr>
        <w:t>转运申请手续办理完毕后，甲方根据各分公司废旧蓄电池报废手续及实物回缴进度，统一向乙方出具《提货通知书》，单次提货原则上数量不低于5万Ah，乙方收到我司出具的《提货通知书》后，应在3个工作日内缴纳该批次全额处置款（每批处置款=提货数量（容量）*单价，2V规格电池单价=XX元/Ah，12V规格电池单价=XX元/Ah，单价及换算方式详见单项报价表）。在合同期内合同金额执行完毕的，该合同提前终止，如在合同期内未达合同总金额的，本合同自动延期，延期最长不超过6个月。</w:t>
      </w:r>
    </w:p>
    <w:p w14:paraId="63C21AA5">
      <w:pPr>
        <w:pStyle w:val="6"/>
        <w:widowControl/>
        <w:numPr>
          <w:ilvl w:val="0"/>
          <w:numId w:val="3"/>
        </w:numPr>
        <w:rPr>
          <w:rFonts w:hint="eastAsia"/>
          <w:highlight w:val="none"/>
        </w:rPr>
      </w:pPr>
      <w:r>
        <w:rPr>
          <w:rFonts w:hint="eastAsia"/>
          <w:highlight w:val="none"/>
        </w:rPr>
        <w:t>乙方以银行转账方式向甲方支付合同款项。</w:t>
      </w:r>
    </w:p>
    <w:p w14:paraId="18BD968C">
      <w:pPr>
        <w:pStyle w:val="6"/>
        <w:widowControl/>
        <w:autoSpaceDE w:val="0"/>
        <w:ind w:left="0" w:firstLine="560" w:firstLineChars="200"/>
        <w:rPr>
          <w:rFonts w:hint="eastAsia"/>
          <w:highlight w:val="none"/>
        </w:rPr>
      </w:pPr>
      <w:r>
        <w:rPr>
          <w:highlight w:val="none"/>
        </w:rPr>
        <w:t>收款</w:t>
      </w:r>
      <w:r>
        <w:rPr>
          <w:rFonts w:hint="eastAsia"/>
          <w:highlight w:val="none"/>
        </w:rPr>
        <w:t>银行信息如下：</w:t>
      </w:r>
    </w:p>
    <w:p w14:paraId="06294508">
      <w:pPr>
        <w:pStyle w:val="6"/>
        <w:widowControl/>
        <w:autoSpaceDE w:val="0"/>
        <w:ind w:left="0" w:firstLine="560" w:firstLineChars="200"/>
        <w:rPr>
          <w:rFonts w:hint="eastAsia"/>
          <w:highlight w:val="none"/>
        </w:rPr>
      </w:pPr>
      <w:r>
        <w:rPr>
          <w:rFonts w:hint="eastAsia"/>
          <w:highlight w:val="none"/>
        </w:rPr>
        <w:t xml:space="preserve">账户名称：中国联合网络通信有限公司四川省分公司  </w:t>
      </w:r>
    </w:p>
    <w:p w14:paraId="53B2E900">
      <w:pPr>
        <w:pStyle w:val="6"/>
        <w:widowControl/>
        <w:autoSpaceDE w:val="0"/>
        <w:ind w:left="0" w:firstLine="560" w:firstLineChars="200"/>
        <w:rPr>
          <w:rFonts w:hint="eastAsia"/>
          <w:highlight w:val="none"/>
        </w:rPr>
      </w:pPr>
      <w:r>
        <w:rPr>
          <w:rFonts w:hint="eastAsia"/>
          <w:highlight w:val="none"/>
        </w:rPr>
        <w:t xml:space="preserve">开户银行：中国工商银行成都市天顺路支行                 </w:t>
      </w:r>
    </w:p>
    <w:p w14:paraId="7F9D4AEB">
      <w:pPr>
        <w:pStyle w:val="6"/>
        <w:widowControl/>
        <w:numPr>
          <w:ilvl w:val="0"/>
          <w:numId w:val="0"/>
        </w:numPr>
        <w:tabs>
          <w:tab w:val="left" w:pos="0"/>
        </w:tabs>
        <w:autoSpaceDE w:val="0"/>
        <w:ind w:left="0" w:firstLine="560" w:firstLineChars="200"/>
        <w:rPr>
          <w:rFonts w:hint="eastAsia"/>
          <w:highlight w:val="none"/>
        </w:rPr>
      </w:pPr>
      <w:r>
        <w:rPr>
          <w:rFonts w:hint="eastAsia"/>
          <w:highlight w:val="none"/>
        </w:rPr>
        <w:t>银行帐号：4402209119006701989</w:t>
      </w:r>
    </w:p>
    <w:p w14:paraId="5D97EFC5">
      <w:pPr>
        <w:pStyle w:val="6"/>
        <w:widowControl/>
        <w:numPr>
          <w:ilvl w:val="0"/>
          <w:numId w:val="3"/>
        </w:numPr>
        <w:rPr>
          <w:rFonts w:hint="eastAsia"/>
          <w:highlight w:val="none"/>
          <w:lang w:val="en-US" w:eastAsia="zh-CN"/>
        </w:rPr>
      </w:pPr>
      <w:r>
        <w:rPr>
          <w:rFonts w:hint="eastAsia"/>
          <w:highlight w:val="none"/>
          <w:lang w:val="en-US" w:eastAsia="zh-CN"/>
        </w:rPr>
        <w:t>甲方确认收到报废物资处置款项且双方完成实物交付后，向乙方开具发票或收据，税率13%，开票可按实际交接进度分批开票。</w:t>
      </w:r>
    </w:p>
    <w:p w14:paraId="628BEDBB">
      <w:pPr>
        <w:pStyle w:val="6"/>
        <w:widowControl/>
        <w:numPr>
          <w:ilvl w:val="0"/>
          <w:numId w:val="3"/>
        </w:numPr>
        <w:rPr>
          <w:highlight w:val="none"/>
        </w:rPr>
      </w:pPr>
      <w:r>
        <w:rPr>
          <w:rFonts w:hint="eastAsia"/>
          <w:highlight w:val="none"/>
          <w:lang w:val="en-US" w:eastAsia="zh-CN"/>
        </w:rPr>
        <w:t>履约保证金返还：合同履约保证金到账后，通知拍卖平台返还竞价保证金；在合同金额执行达50%后，乙方可申请返还履约保证金的50%，合同执行结束后，乙方向甲方申请在30天内返还全部保证金</w:t>
      </w:r>
      <w:bookmarkStart w:id="0" w:name="_GoBack"/>
      <w:bookmarkEnd w:id="0"/>
      <w:r>
        <w:rPr>
          <w:rFonts w:hint="eastAsia"/>
          <w:highlight w:val="none"/>
          <w:lang w:val="en-US" w:eastAsia="zh-CN"/>
        </w:rPr>
        <w:t>。</w:t>
      </w:r>
    </w:p>
    <w:p w14:paraId="76BF7D04">
      <w:pPr>
        <w:pStyle w:val="6"/>
        <w:widowControl/>
        <w:ind w:left="0" w:leftChars="0" w:firstLine="0" w:firstLineChars="0"/>
        <w:rPr>
          <w:rFonts w:hint="eastAsia"/>
          <w:highlight w:val="none"/>
        </w:rPr>
      </w:pPr>
    </w:p>
    <w:p w14:paraId="5C547E90">
      <w:pPr>
        <w:spacing w:line="600" w:lineRule="exact"/>
        <w:jc w:val="center"/>
        <w:rPr>
          <w:rFonts w:hint="eastAsia" w:ascii="宋体" w:hAnsi="宋体"/>
          <w:b/>
          <w:bCs/>
          <w:sz w:val="28"/>
          <w:szCs w:val="28"/>
          <w:highlight w:val="none"/>
        </w:rPr>
      </w:pPr>
      <w:r>
        <w:rPr>
          <w:rFonts w:hint="eastAsia" w:ascii="宋体" w:hAnsi="宋体"/>
          <w:b/>
          <w:bCs/>
          <w:sz w:val="28"/>
          <w:szCs w:val="28"/>
          <w:highlight w:val="none"/>
        </w:rPr>
        <w:t>第四章  实物交接</w:t>
      </w:r>
    </w:p>
    <w:p w14:paraId="72479708">
      <w:pPr>
        <w:spacing w:line="600" w:lineRule="exact"/>
        <w:rPr>
          <w:rFonts w:hint="eastAsia" w:ascii="宋体" w:hAnsi="宋体"/>
          <w:b/>
          <w:bCs/>
          <w:sz w:val="28"/>
          <w:szCs w:val="28"/>
          <w:highlight w:val="none"/>
        </w:rPr>
      </w:pPr>
      <w:r>
        <w:rPr>
          <w:rFonts w:hint="eastAsia" w:ascii="宋体" w:hAnsi="宋体"/>
          <w:b/>
          <w:bCs/>
          <w:sz w:val="28"/>
          <w:szCs w:val="28"/>
          <w:highlight w:val="none"/>
        </w:rPr>
        <w:t xml:space="preserve"> </w:t>
      </w:r>
    </w:p>
    <w:p w14:paraId="71CF504E">
      <w:pPr>
        <w:pStyle w:val="6"/>
        <w:widowControl/>
        <w:numPr>
          <w:ilvl w:val="0"/>
          <w:numId w:val="3"/>
        </w:numPr>
        <w:rPr>
          <w:rFonts w:hint="eastAsia"/>
          <w:highlight w:val="none"/>
          <w:lang w:val="en-US" w:eastAsia="zh-CN"/>
        </w:rPr>
      </w:pPr>
      <w:r>
        <w:rPr>
          <w:rFonts w:hint="eastAsia"/>
          <w:highlight w:val="none"/>
          <w:lang w:val="en-US" w:eastAsia="zh-CN"/>
        </w:rPr>
        <w:t>环保转运手续办理完成后，甲方组织各地市分公司根据实际报废蓄电池情况，分批次向乙方出具《提货通知书》，单次提货原则上数量不低于5万Ah，乙方收到《提货通知书》按照本合同3.4条支付的处置款项后5个工作日内进行实物交付。甲乙双方共同到甲方指定的现场进行实物清点，乙方实物交割提货时需要携带企业证件及授权书（营业执照加盖鲜章、法人对提货人的授权书），在甲方指定区域接收，不得自行在库位上进行实物搬运。依据报废物资拍卖结果文件，将清点结果填制附件二《报废物资处置实物交接表》一式三份，核对无误后，甲乙双方及实物管理人员应当场在交接表上签字确认。</w:t>
      </w:r>
    </w:p>
    <w:p w14:paraId="79F793DF">
      <w:pPr>
        <w:pStyle w:val="6"/>
        <w:widowControl/>
        <w:numPr>
          <w:ilvl w:val="0"/>
          <w:numId w:val="4"/>
        </w:numPr>
        <w:rPr>
          <w:rFonts w:hint="eastAsia"/>
          <w:highlight w:val="none"/>
        </w:rPr>
      </w:pPr>
      <w:r>
        <w:rPr>
          <w:rFonts w:hint="eastAsia"/>
          <w:highlight w:val="none"/>
          <w:lang w:val="en-US" w:eastAsia="zh-CN"/>
        </w:rPr>
        <w:t>报废蓄电池如需乙方在甲方现场进行拆卸的，双方应另行签署安全施工协议，有关权利义务以安全施工协议为准</w:t>
      </w:r>
      <w:r>
        <w:rPr>
          <w:rFonts w:hint="eastAsia"/>
          <w:highlight w:val="none"/>
        </w:rPr>
        <w:t>。</w:t>
      </w:r>
    </w:p>
    <w:p w14:paraId="4CE94AB3">
      <w:pPr>
        <w:pStyle w:val="6"/>
        <w:widowControl/>
        <w:numPr>
          <w:ilvl w:val="0"/>
          <w:numId w:val="4"/>
        </w:numPr>
        <w:rPr>
          <w:rFonts w:hint="eastAsia"/>
          <w:highlight w:val="none"/>
          <w:lang w:val="en-US" w:eastAsia="zh-CN"/>
        </w:rPr>
      </w:pPr>
      <w:r>
        <w:rPr>
          <w:rFonts w:hint="eastAsia"/>
          <w:highlight w:val="none"/>
          <w:lang w:val="en-US" w:eastAsia="zh-CN"/>
        </w:rPr>
        <w:t>自甲乙双方代表签署附件二《报废物资处置实物交接表》之时起，合同标的的权属发生移转，即合同标的的全部风险转移至乙方承担，乙方应按报废铅酸蓄电池的环保要求对蓄电池进行安全转运、存储及处理。甲方不对合同标的的丢失、损毁、灭失、减值、安全、环保等任何风险承担任何责任。</w:t>
      </w:r>
    </w:p>
    <w:p w14:paraId="366F257A">
      <w:pPr>
        <w:pStyle w:val="6"/>
        <w:widowControl/>
        <w:numPr>
          <w:ilvl w:val="0"/>
          <w:numId w:val="4"/>
        </w:numPr>
        <w:rPr>
          <w:rFonts w:hint="eastAsia"/>
          <w:highlight w:val="none"/>
          <w:lang w:val="en-US" w:eastAsia="zh-CN"/>
        </w:rPr>
      </w:pPr>
      <w:r>
        <w:rPr>
          <w:rFonts w:hint="eastAsia"/>
          <w:highlight w:val="none"/>
          <w:lang w:val="en-US" w:eastAsia="zh-CN"/>
        </w:rPr>
        <w:t>自甲乙双方签署附件二《报废物资处置实物交接表》之日起10个工作日内，乙方应自付费用将报废物资运离甲方场所。如超过10个工作日后乙方还需将报废物资寄存在甲方场所，应事先取得甲方书面同意并支付全部的管理费用。自双方签署附件二《报废物资处置实物交接表》之日起超过30日，乙方仍未将报废物资运离甲方场所，则甲方有权以任意方式另行处置报废物资，并不对乙方承担任何违约或赔偿责任。</w:t>
      </w:r>
    </w:p>
    <w:p w14:paraId="4354B35B">
      <w:pPr>
        <w:pStyle w:val="6"/>
        <w:widowControl/>
        <w:rPr>
          <w:rFonts w:hint="eastAsia"/>
          <w:highlight w:val="none"/>
        </w:rPr>
      </w:pPr>
      <w:r>
        <w:rPr>
          <w:rFonts w:hint="eastAsia"/>
          <w:highlight w:val="none"/>
        </w:rPr>
        <w:t xml:space="preserve"> </w:t>
      </w:r>
    </w:p>
    <w:p w14:paraId="16AAE014">
      <w:pPr>
        <w:pStyle w:val="5"/>
        <w:widowControl/>
        <w:ind w:firstLine="562"/>
        <w:jc w:val="center"/>
        <w:rPr>
          <w:rFonts w:hint="eastAsia"/>
          <w:b/>
          <w:bCs/>
          <w:sz w:val="28"/>
          <w:szCs w:val="28"/>
          <w:highlight w:val="none"/>
        </w:rPr>
      </w:pPr>
      <w:r>
        <w:rPr>
          <w:rFonts w:hint="eastAsia" w:ascii="宋体" w:hAnsi="宋体"/>
          <w:b/>
          <w:bCs/>
          <w:sz w:val="28"/>
          <w:szCs w:val="28"/>
          <w:highlight w:val="none"/>
        </w:rPr>
        <w:t>第五章</w:t>
      </w:r>
      <w:r>
        <w:rPr>
          <w:b/>
          <w:bCs/>
          <w:sz w:val="28"/>
          <w:szCs w:val="28"/>
          <w:highlight w:val="none"/>
        </w:rPr>
        <w:t xml:space="preserve">  </w:t>
      </w:r>
      <w:r>
        <w:rPr>
          <w:rFonts w:hint="eastAsia" w:ascii="宋体" w:hAnsi="宋体"/>
          <w:b/>
          <w:bCs/>
          <w:sz w:val="28"/>
          <w:szCs w:val="28"/>
          <w:highlight w:val="none"/>
        </w:rPr>
        <w:t>权利</w:t>
      </w:r>
      <w:r>
        <w:rPr>
          <w:rFonts w:hint="eastAsia" w:ascii="宋体" w:hAnsi="宋体"/>
          <w:b/>
          <w:bCs/>
          <w:sz w:val="28"/>
          <w:szCs w:val="28"/>
          <w:highlight w:val="none"/>
          <w:lang w:val="en-US" w:eastAsia="zh-CN"/>
        </w:rPr>
        <w:t>与</w:t>
      </w:r>
      <w:r>
        <w:rPr>
          <w:rFonts w:hint="eastAsia" w:ascii="宋体" w:hAnsi="宋体"/>
          <w:b/>
          <w:bCs/>
          <w:sz w:val="28"/>
          <w:szCs w:val="28"/>
          <w:highlight w:val="none"/>
        </w:rPr>
        <w:t>义务</w:t>
      </w:r>
    </w:p>
    <w:p w14:paraId="43C53FF3">
      <w:pPr>
        <w:pStyle w:val="5"/>
        <w:widowControl/>
        <w:ind w:firstLine="562"/>
        <w:jc w:val="center"/>
        <w:rPr>
          <w:rFonts w:hint="eastAsia"/>
          <w:b/>
          <w:bCs/>
          <w:sz w:val="28"/>
          <w:szCs w:val="28"/>
          <w:highlight w:val="none"/>
        </w:rPr>
      </w:pPr>
      <w:r>
        <w:rPr>
          <w:rFonts w:hint="eastAsia"/>
          <w:b/>
          <w:bCs/>
          <w:sz w:val="28"/>
          <w:szCs w:val="28"/>
          <w:highlight w:val="none"/>
        </w:rPr>
        <w:t xml:space="preserve"> </w:t>
      </w:r>
    </w:p>
    <w:p w14:paraId="33D84893">
      <w:pPr>
        <w:pStyle w:val="6"/>
        <w:widowControl/>
        <w:numPr>
          <w:ilvl w:val="1"/>
          <w:numId w:val="5"/>
        </w:numPr>
        <w:rPr>
          <w:rFonts w:hint="eastAsia"/>
          <w:highlight w:val="none"/>
        </w:rPr>
      </w:pPr>
      <w:r>
        <w:rPr>
          <w:rFonts w:hint="eastAsia"/>
          <w:highlight w:val="none"/>
        </w:rPr>
        <w:t>乙方权利</w:t>
      </w:r>
      <w:r>
        <w:rPr>
          <w:rFonts w:hint="eastAsia"/>
          <w:highlight w:val="none"/>
          <w:lang w:val="en-US" w:eastAsia="zh-CN"/>
        </w:rPr>
        <w:t>与</w:t>
      </w:r>
      <w:r>
        <w:rPr>
          <w:rFonts w:hint="eastAsia"/>
          <w:highlight w:val="none"/>
        </w:rPr>
        <w:t>义务</w:t>
      </w:r>
    </w:p>
    <w:p w14:paraId="17E35CE8">
      <w:pPr>
        <w:pStyle w:val="6"/>
        <w:widowControl/>
        <w:ind w:left="1120" w:leftChars="200" w:hanging="700" w:hangingChars="250"/>
        <w:rPr>
          <w:rFonts w:hint="eastAsia"/>
          <w:highlight w:val="none"/>
        </w:rPr>
      </w:pPr>
      <w:r>
        <w:rPr>
          <w:rFonts w:hint="eastAsia"/>
          <w:highlight w:val="none"/>
        </w:rPr>
        <w:t>5.1.1</w:t>
      </w:r>
      <w:r>
        <w:rPr>
          <w:rFonts w:hint="eastAsia"/>
          <w:highlight w:val="none"/>
          <w:lang w:val="en-US" w:eastAsia="zh-CN"/>
        </w:rPr>
        <w:t>乙方派往甲方的工作人员或受雇于乙方的人员，有责任了解甲方的有关管理规定，遵守甲方有关的安全、环保等有关管理要求，并接受甲方有关人员的监督。</w:t>
      </w:r>
    </w:p>
    <w:p w14:paraId="121CD389">
      <w:pPr>
        <w:pStyle w:val="6"/>
        <w:widowControl/>
        <w:ind w:left="1120" w:leftChars="200" w:hanging="700" w:hangingChars="250"/>
        <w:rPr>
          <w:rFonts w:hint="eastAsia"/>
          <w:highlight w:val="none"/>
        </w:rPr>
      </w:pPr>
      <w:r>
        <w:rPr>
          <w:rFonts w:hint="eastAsia"/>
          <w:highlight w:val="none"/>
        </w:rPr>
        <w:t>5.1.2 在协议履行过程中因乙方原因所发生的任何安全事故，均由乙方承担全部法律责任，与甲方无关。因乙方过错造成的所有人身伤害和财产损失，均由乙方承担全部法律责任并赔偿甲方及其他相关方损失。</w:t>
      </w:r>
    </w:p>
    <w:p w14:paraId="0B565867">
      <w:pPr>
        <w:pStyle w:val="6"/>
        <w:widowControl/>
        <w:numPr>
          <w:ilvl w:val="2"/>
          <w:numId w:val="6"/>
        </w:numPr>
        <w:rPr>
          <w:rFonts w:hint="eastAsia"/>
          <w:highlight w:val="none"/>
        </w:rPr>
      </w:pPr>
      <w:r>
        <w:rPr>
          <w:rFonts w:hint="eastAsia"/>
          <w:highlight w:val="none"/>
        </w:rPr>
        <w:t xml:space="preserve"> 乙方对从甲方收购的废旧物资进行再处理时应符合环境保护等国家法律法规的相关规定，如有违反乙方承担其全部责任。</w:t>
      </w:r>
    </w:p>
    <w:p w14:paraId="4C6D83DB">
      <w:pPr>
        <w:pStyle w:val="6"/>
        <w:widowControl/>
        <w:numPr>
          <w:ilvl w:val="2"/>
          <w:numId w:val="6"/>
        </w:numPr>
        <w:rPr>
          <w:rFonts w:hint="eastAsia"/>
          <w:highlight w:val="none"/>
        </w:rPr>
      </w:pPr>
      <w:r>
        <w:rPr>
          <w:rFonts w:hint="eastAsia"/>
          <w:highlight w:val="none"/>
        </w:rPr>
        <w:t xml:space="preserve"> 乙方应</w:t>
      </w:r>
      <w:r>
        <w:rPr>
          <w:rFonts w:hint="eastAsia"/>
          <w:highlight w:val="none"/>
          <w:lang w:val="en-US" w:eastAsia="zh-CN"/>
        </w:rPr>
        <w:t>知晓甲方标的为报废物资</w:t>
      </w:r>
      <w:r>
        <w:rPr>
          <w:rFonts w:hint="eastAsia"/>
          <w:highlight w:val="none"/>
        </w:rPr>
        <w:t>。报废</w:t>
      </w:r>
      <w:r>
        <w:rPr>
          <w:rFonts w:hint="eastAsia"/>
          <w:highlight w:val="none"/>
          <w:lang w:val="en-US" w:eastAsia="zh-CN"/>
        </w:rPr>
        <w:t>物资</w:t>
      </w:r>
      <w:r>
        <w:rPr>
          <w:rFonts w:hint="eastAsia"/>
          <w:highlight w:val="none"/>
        </w:rPr>
        <w:t xml:space="preserve">并不具有一般新商品的自行承担报废物资的拆卸、包装、运输、保险等相关费用。 </w:t>
      </w:r>
    </w:p>
    <w:p w14:paraId="36DB7BD4">
      <w:pPr>
        <w:pStyle w:val="6"/>
        <w:widowControl/>
        <w:numPr>
          <w:ilvl w:val="1"/>
          <w:numId w:val="5"/>
        </w:numPr>
        <w:rPr>
          <w:rFonts w:hint="eastAsia"/>
          <w:highlight w:val="none"/>
        </w:rPr>
      </w:pPr>
      <w:r>
        <w:rPr>
          <w:rFonts w:hint="eastAsia"/>
          <w:highlight w:val="none"/>
        </w:rPr>
        <w:t>甲方权利</w:t>
      </w:r>
      <w:r>
        <w:rPr>
          <w:rFonts w:hint="eastAsia"/>
          <w:highlight w:val="none"/>
          <w:lang w:val="en-US" w:eastAsia="zh-CN"/>
        </w:rPr>
        <w:t>与</w:t>
      </w:r>
      <w:r>
        <w:rPr>
          <w:rFonts w:hint="eastAsia"/>
          <w:highlight w:val="none"/>
        </w:rPr>
        <w:t>义务</w:t>
      </w:r>
    </w:p>
    <w:p w14:paraId="318789BC">
      <w:pPr>
        <w:pStyle w:val="6"/>
        <w:widowControl/>
        <w:numPr>
          <w:ilvl w:val="0"/>
          <w:numId w:val="7"/>
        </w:numPr>
        <w:rPr>
          <w:rFonts w:hint="eastAsia"/>
          <w:highlight w:val="none"/>
        </w:rPr>
      </w:pPr>
      <w:r>
        <w:rPr>
          <w:rFonts w:hint="eastAsia"/>
          <w:highlight w:val="none"/>
        </w:rPr>
        <w:t>甲方有权决定本次处置报废物资的范围，并确保所处置物</w:t>
      </w:r>
      <w:r>
        <w:rPr>
          <w:rFonts w:hint="eastAsia"/>
          <w:highlight w:val="none"/>
          <w:lang w:val="en-US" w:eastAsia="zh-CN"/>
        </w:rPr>
        <w:t xml:space="preserve">  </w:t>
      </w:r>
      <w:r>
        <w:rPr>
          <w:rFonts w:hint="eastAsia"/>
          <w:highlight w:val="none"/>
        </w:rPr>
        <w:t>资为合法标的物。</w:t>
      </w:r>
    </w:p>
    <w:p w14:paraId="67240527">
      <w:pPr>
        <w:pStyle w:val="6"/>
        <w:widowControl/>
        <w:numPr>
          <w:ilvl w:val="0"/>
          <w:numId w:val="7"/>
        </w:numPr>
        <w:rPr>
          <w:rFonts w:hint="eastAsia"/>
          <w:highlight w:val="none"/>
        </w:rPr>
      </w:pPr>
      <w:r>
        <w:rPr>
          <w:rFonts w:hint="eastAsia"/>
          <w:highlight w:val="none"/>
        </w:rPr>
        <w:t>甲方负责将待处理报废物资收集到甲方指定地点。</w:t>
      </w:r>
    </w:p>
    <w:p w14:paraId="1F0CCD57">
      <w:pPr>
        <w:pStyle w:val="6"/>
        <w:widowControl/>
        <w:numPr>
          <w:ilvl w:val="0"/>
          <w:numId w:val="7"/>
        </w:numPr>
        <w:rPr>
          <w:rFonts w:hint="eastAsia"/>
          <w:highlight w:val="none"/>
        </w:rPr>
      </w:pPr>
      <w:r>
        <w:rPr>
          <w:rFonts w:hint="eastAsia"/>
          <w:highlight w:val="none"/>
        </w:rPr>
        <w:t>甲方承诺回收期间向乙方提供相应的便利和配合。</w:t>
      </w:r>
    </w:p>
    <w:p w14:paraId="04C42283">
      <w:pPr>
        <w:pStyle w:val="5"/>
        <w:widowControl/>
        <w:rPr>
          <w:rFonts w:hint="eastAsia"/>
          <w:highlight w:val="none"/>
        </w:rPr>
      </w:pPr>
      <w:r>
        <w:rPr>
          <w:highlight w:val="none"/>
        </w:rPr>
        <w:t xml:space="preserve"> </w:t>
      </w:r>
    </w:p>
    <w:p w14:paraId="1DC36F42">
      <w:pPr>
        <w:spacing w:line="600" w:lineRule="exact"/>
        <w:jc w:val="center"/>
        <w:rPr>
          <w:rFonts w:ascii="宋体" w:hAnsi="宋体"/>
          <w:b/>
          <w:bCs/>
          <w:sz w:val="28"/>
          <w:szCs w:val="28"/>
          <w:highlight w:val="none"/>
        </w:rPr>
      </w:pPr>
      <w:r>
        <w:rPr>
          <w:rFonts w:hint="eastAsia" w:ascii="宋体" w:hAnsi="宋体"/>
          <w:b/>
          <w:bCs/>
          <w:sz w:val="28"/>
          <w:szCs w:val="28"/>
          <w:highlight w:val="none"/>
        </w:rPr>
        <w:t>第六章  违约及索赔</w:t>
      </w:r>
    </w:p>
    <w:p w14:paraId="319CF394">
      <w:pPr>
        <w:spacing w:line="600" w:lineRule="exact"/>
        <w:rPr>
          <w:rFonts w:hint="eastAsia" w:ascii="宋体" w:hAnsi="宋体"/>
          <w:sz w:val="28"/>
          <w:szCs w:val="28"/>
          <w:highlight w:val="none"/>
        </w:rPr>
      </w:pPr>
      <w:r>
        <w:rPr>
          <w:rFonts w:hint="eastAsia" w:ascii="宋体" w:hAnsi="宋体"/>
          <w:sz w:val="28"/>
          <w:szCs w:val="28"/>
          <w:highlight w:val="none"/>
        </w:rPr>
        <w:t xml:space="preserve"> </w:t>
      </w:r>
    </w:p>
    <w:p w14:paraId="6107D9F8">
      <w:pPr>
        <w:pStyle w:val="6"/>
        <w:widowControl/>
        <w:numPr>
          <w:ilvl w:val="0"/>
          <w:numId w:val="8"/>
        </w:numPr>
        <w:ind w:left="560" w:hanging="560" w:hangingChars="200"/>
        <w:rPr>
          <w:rFonts w:hint="eastAsia"/>
          <w:highlight w:val="none"/>
        </w:rPr>
      </w:pPr>
      <w:r>
        <w:rPr>
          <w:rFonts w:hint="eastAsia"/>
          <w:highlight w:val="none"/>
        </w:rPr>
        <w:t>本合同生效后，双方应本着诚实守信原则共同遵守不得违反。</w:t>
      </w:r>
    </w:p>
    <w:p w14:paraId="47B0C72C">
      <w:pPr>
        <w:pStyle w:val="6"/>
        <w:widowControl/>
        <w:numPr>
          <w:ilvl w:val="0"/>
          <w:numId w:val="8"/>
        </w:numPr>
        <w:ind w:left="560" w:hanging="560" w:hangingChars="200"/>
        <w:rPr>
          <w:rFonts w:hint="eastAsia"/>
          <w:highlight w:val="none"/>
        </w:rPr>
      </w:pPr>
      <w:r>
        <w:rPr>
          <w:rFonts w:hint="eastAsia"/>
          <w:highlight w:val="none"/>
        </w:rPr>
        <w:t>乙方出现下列任一情形，甲方有权单方解除合同并不承担任何违                                                                                                                 约责任，且甲方还有权扣除乙方</w:t>
      </w:r>
      <w:r>
        <w:rPr>
          <w:rFonts w:hint="eastAsia"/>
          <w:highlight w:val="none"/>
          <w:lang w:val="en-US" w:eastAsia="zh-CN"/>
        </w:rPr>
        <w:t>本合同的</w:t>
      </w:r>
      <w:r>
        <w:rPr>
          <w:rFonts w:hint="eastAsia"/>
          <w:highlight w:val="none"/>
        </w:rPr>
        <w:t>全部</w:t>
      </w:r>
      <w:r>
        <w:rPr>
          <w:rFonts w:hint="eastAsia"/>
          <w:highlight w:val="none"/>
          <w:lang w:val="en-US" w:eastAsia="zh-CN"/>
        </w:rPr>
        <w:t>履约</w:t>
      </w:r>
      <w:r>
        <w:rPr>
          <w:rFonts w:hint="eastAsia"/>
          <w:highlight w:val="none"/>
        </w:rPr>
        <w:t>保证金</w:t>
      </w:r>
      <w:r>
        <w:rPr>
          <w:rFonts w:hint="eastAsia"/>
          <w:highlight w:val="none"/>
          <w:lang w:eastAsia="zh-CN"/>
        </w:rPr>
        <w:t>。</w:t>
      </w:r>
      <w:r>
        <w:rPr>
          <w:rFonts w:hint="eastAsia"/>
          <w:highlight w:val="none"/>
        </w:rPr>
        <w:t>（1）出现重大安全事故或环保事故</w:t>
      </w:r>
      <w:r>
        <w:rPr>
          <w:rFonts w:hint="eastAsia"/>
          <w:highlight w:val="none"/>
          <w:lang w:eastAsia="zh-CN"/>
        </w:rPr>
        <w:t>；</w:t>
      </w:r>
      <w:r>
        <w:rPr>
          <w:rFonts w:hint="eastAsia"/>
          <w:highlight w:val="none"/>
        </w:rPr>
        <w:t>（2）接到甲方实物交付通知后无正当理由超过5日不予回应。</w:t>
      </w:r>
    </w:p>
    <w:p w14:paraId="76956D2F">
      <w:pPr>
        <w:pStyle w:val="6"/>
        <w:widowControl/>
        <w:rPr>
          <w:rFonts w:hint="eastAsia"/>
          <w:highlight w:val="none"/>
        </w:rPr>
      </w:pPr>
      <w:r>
        <w:rPr>
          <w:rFonts w:hint="eastAsia"/>
          <w:highlight w:val="none"/>
        </w:rPr>
        <w:t>6.2.1甲方基于上述任一情形解除合同的，自解除合同的书面通知送达乙方之日起本合同自动失效。</w:t>
      </w:r>
    </w:p>
    <w:p w14:paraId="5951F9A9">
      <w:pPr>
        <w:pStyle w:val="6"/>
        <w:widowControl/>
        <w:rPr>
          <w:rFonts w:hint="eastAsia"/>
          <w:highlight w:val="none"/>
        </w:rPr>
      </w:pPr>
      <w:r>
        <w:rPr>
          <w:rFonts w:hint="eastAsia"/>
          <w:highlight w:val="none"/>
        </w:rPr>
        <w:t>6.2.2甲方基于上述任一情形解除合同，并扣除乙方</w:t>
      </w:r>
      <w:r>
        <w:rPr>
          <w:rFonts w:hint="eastAsia"/>
          <w:highlight w:val="none"/>
          <w:lang w:val="en-US" w:eastAsia="zh-CN"/>
        </w:rPr>
        <w:t>合同履约</w:t>
      </w:r>
      <w:r>
        <w:rPr>
          <w:rFonts w:hint="eastAsia"/>
          <w:highlight w:val="none"/>
        </w:rPr>
        <w:t>保证金，不免除乙方应承担的其他违约责任。</w:t>
      </w:r>
    </w:p>
    <w:p w14:paraId="254991B0">
      <w:pPr>
        <w:pStyle w:val="6"/>
        <w:widowControl/>
        <w:numPr>
          <w:ilvl w:val="0"/>
          <w:numId w:val="8"/>
        </w:numPr>
        <w:ind w:left="560" w:hanging="560" w:hangingChars="200"/>
        <w:rPr>
          <w:rFonts w:hint="eastAsia"/>
          <w:highlight w:val="none"/>
        </w:rPr>
      </w:pPr>
      <w:r>
        <w:rPr>
          <w:rFonts w:hint="eastAsia"/>
          <w:highlight w:val="none"/>
        </w:rPr>
        <w:t>因乙方原因造成付款延迟、实物移交延迟或运离延迟的，每延迟一天，应按</w:t>
      </w:r>
      <w:r>
        <w:rPr>
          <w:rFonts w:hint="eastAsia"/>
          <w:highlight w:val="none"/>
          <w:lang w:val="en-US" w:eastAsia="zh-CN"/>
        </w:rPr>
        <w:t>该批次移交</w:t>
      </w:r>
      <w:r>
        <w:rPr>
          <w:rFonts w:hint="eastAsia"/>
          <w:highlight w:val="none"/>
        </w:rPr>
        <w:t>总价的0.1％向甲方支付违约金</w:t>
      </w:r>
      <w:r>
        <w:rPr>
          <w:rFonts w:hint="eastAsia"/>
          <w:highlight w:val="none"/>
          <w:lang w:eastAsia="zh-CN"/>
        </w:rPr>
        <w:t>，单次扣罚最高不超过</w:t>
      </w:r>
      <w:r>
        <w:rPr>
          <w:rFonts w:hint="eastAsia"/>
          <w:highlight w:val="none"/>
          <w:lang w:val="en-US" w:eastAsia="zh-CN"/>
        </w:rPr>
        <w:t>合同总</w:t>
      </w:r>
      <w:r>
        <w:rPr>
          <w:rFonts w:hint="eastAsia"/>
          <w:highlight w:val="none"/>
        </w:rPr>
        <w:t>金额</w:t>
      </w:r>
      <w:r>
        <w:rPr>
          <w:rFonts w:hint="eastAsia"/>
          <w:highlight w:val="none"/>
          <w:lang w:eastAsia="zh-CN"/>
        </w:rPr>
        <w:t>的10%</w:t>
      </w:r>
      <w:r>
        <w:rPr>
          <w:rFonts w:hint="eastAsia"/>
          <w:highlight w:val="none"/>
        </w:rPr>
        <w:t>。</w:t>
      </w:r>
    </w:p>
    <w:p w14:paraId="44AFDDA2">
      <w:pPr>
        <w:pStyle w:val="6"/>
        <w:widowControl/>
        <w:numPr>
          <w:ilvl w:val="0"/>
          <w:numId w:val="8"/>
        </w:numPr>
        <w:ind w:left="560" w:hanging="560" w:hangingChars="200"/>
        <w:rPr>
          <w:rFonts w:hint="eastAsia"/>
          <w:highlight w:val="none"/>
        </w:rPr>
      </w:pPr>
      <w:r>
        <w:rPr>
          <w:rFonts w:hint="eastAsia"/>
          <w:highlight w:val="none"/>
        </w:rPr>
        <w:t>因乙方违反本合同约定而给甲方造成损失的，如按照本合同相关规定支付违约金后仍不足以弥补甲方损失，乙方还应予以全部赔偿。</w:t>
      </w:r>
    </w:p>
    <w:p w14:paraId="1D562C03">
      <w:pPr>
        <w:pStyle w:val="6"/>
        <w:widowControl/>
        <w:numPr>
          <w:ilvl w:val="0"/>
          <w:numId w:val="8"/>
        </w:numPr>
        <w:ind w:left="560" w:hanging="560" w:hangingChars="200"/>
        <w:rPr>
          <w:rFonts w:hint="eastAsia"/>
          <w:highlight w:val="none"/>
        </w:rPr>
      </w:pPr>
      <w:r>
        <w:rPr>
          <w:rFonts w:hint="eastAsia"/>
          <w:highlight w:val="none"/>
        </w:rPr>
        <w:t xml:space="preserve"> 其它未尽事项，由双方协商解决。</w:t>
      </w:r>
    </w:p>
    <w:p w14:paraId="48F0E166">
      <w:pPr>
        <w:pStyle w:val="5"/>
        <w:widowControl/>
        <w:rPr>
          <w:rFonts w:hint="eastAsia"/>
          <w:highlight w:val="none"/>
        </w:rPr>
      </w:pPr>
      <w:r>
        <w:rPr>
          <w:highlight w:val="none"/>
        </w:rPr>
        <w:t xml:space="preserve"> </w:t>
      </w:r>
    </w:p>
    <w:p w14:paraId="7CA7CC2D">
      <w:pPr>
        <w:spacing w:line="600" w:lineRule="exact"/>
        <w:jc w:val="center"/>
        <w:rPr>
          <w:rFonts w:ascii="宋体" w:hAnsi="宋体"/>
          <w:b/>
          <w:bCs/>
          <w:sz w:val="28"/>
          <w:szCs w:val="28"/>
          <w:highlight w:val="none"/>
        </w:rPr>
      </w:pPr>
      <w:r>
        <w:rPr>
          <w:rFonts w:hint="eastAsia" w:ascii="宋体" w:hAnsi="宋体"/>
          <w:b/>
          <w:bCs/>
          <w:sz w:val="28"/>
          <w:szCs w:val="28"/>
          <w:highlight w:val="none"/>
        </w:rPr>
        <w:t>第七章  争议解决</w:t>
      </w:r>
    </w:p>
    <w:p w14:paraId="091D5FE5">
      <w:pPr>
        <w:spacing w:line="600" w:lineRule="exact"/>
        <w:rPr>
          <w:rFonts w:hint="eastAsia" w:ascii="宋体" w:hAnsi="宋体"/>
          <w:sz w:val="28"/>
          <w:szCs w:val="28"/>
          <w:highlight w:val="none"/>
        </w:rPr>
      </w:pPr>
      <w:r>
        <w:rPr>
          <w:rFonts w:hint="eastAsia" w:ascii="宋体" w:hAnsi="宋体"/>
          <w:sz w:val="28"/>
          <w:szCs w:val="28"/>
          <w:highlight w:val="none"/>
        </w:rPr>
        <w:t xml:space="preserve"> </w:t>
      </w:r>
    </w:p>
    <w:p w14:paraId="4660CA25">
      <w:pPr>
        <w:pStyle w:val="6"/>
        <w:widowControl/>
        <w:ind w:left="560" w:hanging="560"/>
        <w:rPr>
          <w:rFonts w:hint="eastAsia"/>
          <w:highlight w:val="none"/>
        </w:rPr>
      </w:pPr>
      <w:r>
        <w:rPr>
          <w:rFonts w:hint="eastAsia"/>
          <w:highlight w:val="none"/>
        </w:rPr>
        <w:t>7.1因执行本合同所发生的和本合同有关的一切争议，双方本着友好合作的态度，通过协商的途径解决。如协商解决不成，则合同任何一方均有权直接向甲方所在地人民法院提起诉讼。</w:t>
      </w:r>
    </w:p>
    <w:p w14:paraId="4599B097">
      <w:pPr>
        <w:pStyle w:val="6"/>
        <w:widowControl/>
        <w:ind w:left="560" w:hanging="560"/>
        <w:rPr>
          <w:rFonts w:hint="eastAsia"/>
          <w:highlight w:val="none"/>
        </w:rPr>
      </w:pPr>
      <w:r>
        <w:rPr>
          <w:rFonts w:hint="eastAsia"/>
          <w:highlight w:val="none"/>
        </w:rPr>
        <w:t>7.2 诉讼期间，除了必须在诉讼过程中进行解决的部分问题外，合同其余部分应继续履行。</w:t>
      </w:r>
    </w:p>
    <w:p w14:paraId="273D07C6">
      <w:pPr>
        <w:pStyle w:val="6"/>
        <w:widowControl/>
        <w:ind w:left="0" w:firstLine="0"/>
        <w:jc w:val="center"/>
        <w:rPr>
          <w:rFonts w:hint="eastAsia"/>
          <w:b/>
          <w:bCs/>
          <w:highlight w:val="none"/>
        </w:rPr>
      </w:pPr>
      <w:r>
        <w:rPr>
          <w:rFonts w:hint="eastAsia"/>
          <w:b/>
          <w:bCs/>
          <w:highlight w:val="none"/>
        </w:rPr>
        <w:t xml:space="preserve"> </w:t>
      </w:r>
    </w:p>
    <w:p w14:paraId="6B965991">
      <w:pPr>
        <w:pStyle w:val="6"/>
        <w:widowControl/>
        <w:ind w:left="0" w:firstLine="0"/>
        <w:jc w:val="center"/>
        <w:rPr>
          <w:rFonts w:hint="eastAsia"/>
          <w:b/>
          <w:bCs/>
          <w:highlight w:val="none"/>
        </w:rPr>
      </w:pPr>
      <w:r>
        <w:rPr>
          <w:rFonts w:hint="eastAsia"/>
          <w:b/>
          <w:bCs/>
          <w:highlight w:val="none"/>
        </w:rPr>
        <w:t>第八章  保密规定</w:t>
      </w:r>
    </w:p>
    <w:p w14:paraId="0BB73E59">
      <w:pPr>
        <w:pStyle w:val="5"/>
        <w:widowControl/>
        <w:rPr>
          <w:rFonts w:hint="eastAsia"/>
          <w:highlight w:val="none"/>
        </w:rPr>
      </w:pPr>
      <w:r>
        <w:rPr>
          <w:highlight w:val="none"/>
        </w:rPr>
        <w:t xml:space="preserve"> </w:t>
      </w:r>
    </w:p>
    <w:p w14:paraId="1FDC0C51">
      <w:pPr>
        <w:pStyle w:val="6"/>
        <w:widowControl/>
        <w:ind w:left="0" w:firstLine="560" w:firstLineChars="200"/>
        <w:rPr>
          <w:highlight w:val="none"/>
        </w:rPr>
      </w:pPr>
      <w:r>
        <w:rPr>
          <w:rFonts w:hint="eastAsia"/>
          <w:highlight w:val="none"/>
        </w:rPr>
        <w:t>无论本合同是否签订、履行或终止，双方同意并承认，在本合同签订或履行期间所获取的对方的资料或信息，未经合同的相对方事先书面同意不得向任何第三方披露、泄露、复印或复制该资料或信息，并且不得以任何方式用于对合同相对方不利之目的。本合同和法律法规另有规定的除外。</w:t>
      </w:r>
    </w:p>
    <w:p w14:paraId="35FA6730">
      <w:pPr>
        <w:pStyle w:val="6"/>
        <w:widowControl/>
        <w:ind w:left="0" w:firstLine="560" w:firstLineChars="200"/>
        <w:rPr>
          <w:rFonts w:hint="eastAsia"/>
          <w:highlight w:val="none"/>
        </w:rPr>
      </w:pPr>
      <w:r>
        <w:rPr>
          <w:rFonts w:hint="eastAsia"/>
          <w:highlight w:val="none"/>
        </w:rPr>
        <w:t xml:space="preserve"> </w:t>
      </w:r>
    </w:p>
    <w:p w14:paraId="60DFAAED">
      <w:pPr>
        <w:pStyle w:val="6"/>
        <w:widowControl/>
        <w:ind w:left="0" w:firstLine="0"/>
        <w:jc w:val="center"/>
        <w:rPr>
          <w:rFonts w:hint="eastAsia"/>
          <w:b/>
          <w:bCs/>
          <w:highlight w:val="none"/>
        </w:rPr>
      </w:pPr>
      <w:r>
        <w:rPr>
          <w:rFonts w:hint="eastAsia"/>
          <w:b/>
          <w:bCs/>
          <w:highlight w:val="none"/>
        </w:rPr>
        <w:t>第九章  合同生效</w:t>
      </w:r>
    </w:p>
    <w:p w14:paraId="68988272">
      <w:pPr>
        <w:pStyle w:val="5"/>
        <w:widowControl/>
        <w:rPr>
          <w:rFonts w:hint="eastAsia"/>
          <w:highlight w:val="none"/>
        </w:rPr>
      </w:pPr>
      <w:r>
        <w:rPr>
          <w:highlight w:val="none"/>
        </w:rPr>
        <w:t xml:space="preserve"> </w:t>
      </w:r>
    </w:p>
    <w:p w14:paraId="283943E5">
      <w:pPr>
        <w:pStyle w:val="6"/>
        <w:widowControl/>
        <w:ind w:left="560" w:hanging="560" w:hangingChars="200"/>
        <w:rPr>
          <w:highlight w:val="none"/>
        </w:rPr>
      </w:pPr>
      <w:r>
        <w:rPr>
          <w:rFonts w:hint="eastAsia"/>
          <w:highlight w:val="none"/>
        </w:rPr>
        <w:t>9.1 本合同经双方法定代表人或授权代表签字并加盖公章或合同专用章之日起生效，合同有效期一年。</w:t>
      </w:r>
    </w:p>
    <w:p w14:paraId="541AF7B0">
      <w:pPr>
        <w:pStyle w:val="6"/>
        <w:widowControl/>
        <w:ind w:left="560" w:hanging="560" w:hangingChars="200"/>
        <w:rPr>
          <w:rFonts w:hint="eastAsia"/>
          <w:highlight w:val="none"/>
        </w:rPr>
      </w:pPr>
      <w:r>
        <w:rPr>
          <w:rFonts w:hint="eastAsia"/>
          <w:highlight w:val="none"/>
        </w:rPr>
        <w:t>9.2  在执行本合同期间，各方的所有通知应采取可靠的传真和信函方式。</w:t>
      </w:r>
    </w:p>
    <w:p w14:paraId="5D7295EF">
      <w:pPr>
        <w:spacing w:line="600" w:lineRule="exact"/>
        <w:jc w:val="center"/>
        <w:rPr>
          <w:rFonts w:hint="eastAsia" w:ascii="宋体" w:hAnsi="宋体"/>
          <w:b/>
          <w:bCs/>
          <w:sz w:val="28"/>
          <w:szCs w:val="28"/>
          <w:highlight w:val="none"/>
        </w:rPr>
      </w:pPr>
      <w:r>
        <w:rPr>
          <w:rFonts w:hint="eastAsia" w:ascii="宋体" w:hAnsi="宋体"/>
          <w:b/>
          <w:bCs/>
          <w:sz w:val="28"/>
          <w:szCs w:val="28"/>
          <w:highlight w:val="none"/>
        </w:rPr>
        <w:t>第十章  解除与变更</w:t>
      </w:r>
    </w:p>
    <w:p w14:paraId="7439D519">
      <w:pPr>
        <w:spacing w:line="600" w:lineRule="exact"/>
        <w:rPr>
          <w:rFonts w:hint="eastAsia" w:ascii="宋体" w:hAnsi="宋体"/>
          <w:sz w:val="28"/>
          <w:szCs w:val="28"/>
          <w:highlight w:val="none"/>
        </w:rPr>
      </w:pPr>
      <w:r>
        <w:rPr>
          <w:rFonts w:hint="eastAsia" w:ascii="宋体" w:hAnsi="宋体"/>
          <w:sz w:val="28"/>
          <w:szCs w:val="28"/>
          <w:highlight w:val="none"/>
        </w:rPr>
        <w:t xml:space="preserve"> </w:t>
      </w:r>
    </w:p>
    <w:p w14:paraId="45F5008D">
      <w:pPr>
        <w:pStyle w:val="6"/>
        <w:widowControl/>
        <w:ind w:left="560" w:hanging="560" w:hangingChars="200"/>
        <w:rPr>
          <w:rFonts w:hint="eastAsia"/>
          <w:highlight w:val="none"/>
        </w:rPr>
      </w:pPr>
      <w:r>
        <w:rPr>
          <w:rFonts w:hint="eastAsia"/>
          <w:highlight w:val="none"/>
        </w:rPr>
        <w:t>10.1 对本合同条款的任何变更，修改或增减，须经双方授权代表签字并盖公章或合同专用章的书面文件为准。</w:t>
      </w:r>
    </w:p>
    <w:p w14:paraId="35DEF575">
      <w:pPr>
        <w:pStyle w:val="6"/>
        <w:widowControl/>
        <w:ind w:left="560" w:hanging="560" w:hangingChars="200"/>
        <w:rPr>
          <w:rFonts w:hint="eastAsia"/>
          <w:highlight w:val="none"/>
        </w:rPr>
      </w:pPr>
      <w:r>
        <w:rPr>
          <w:rFonts w:hint="eastAsia"/>
          <w:highlight w:val="none"/>
        </w:rPr>
        <w:t>10.2 甲乙各方均无权单方变更或解除本合同，但本合同有约定或法律法规有规定的可以不受本条款的限制。</w:t>
      </w:r>
    </w:p>
    <w:p w14:paraId="7792AEAD">
      <w:pPr>
        <w:pStyle w:val="6"/>
        <w:widowControl/>
        <w:ind w:left="560" w:hanging="560" w:hangingChars="200"/>
        <w:rPr>
          <w:rFonts w:hint="eastAsia"/>
          <w:highlight w:val="none"/>
        </w:rPr>
      </w:pPr>
      <w:r>
        <w:rPr>
          <w:rFonts w:hint="eastAsia"/>
          <w:highlight w:val="none"/>
        </w:rPr>
        <w:t>10.3 如有变更事项，应至少于15日前以书面方式告知对方然后进行协商，甲乙双方协商一致同意变更的，由甲乙双方签署书面文件作为本合同的附件。</w:t>
      </w:r>
    </w:p>
    <w:p w14:paraId="2F4FE261">
      <w:pPr>
        <w:pStyle w:val="6"/>
        <w:widowControl/>
        <w:ind w:left="560" w:hanging="560" w:hangingChars="200"/>
        <w:rPr>
          <w:rFonts w:hint="eastAsia"/>
          <w:highlight w:val="none"/>
        </w:rPr>
      </w:pPr>
      <w:r>
        <w:rPr>
          <w:rFonts w:hint="eastAsia"/>
          <w:highlight w:val="none"/>
        </w:rPr>
        <w:t>10.4 本合同未尽事宜，由甲乙双方另行协商并签署书面文件作为本合同的附件。</w:t>
      </w:r>
    </w:p>
    <w:p w14:paraId="3B2CE0D7">
      <w:pPr>
        <w:pStyle w:val="6"/>
        <w:widowControl/>
        <w:ind w:left="560" w:hanging="560" w:hangingChars="200"/>
        <w:rPr>
          <w:rFonts w:hint="eastAsia"/>
          <w:highlight w:val="none"/>
        </w:rPr>
      </w:pPr>
      <w:r>
        <w:rPr>
          <w:rFonts w:hint="eastAsia"/>
          <w:highlight w:val="none"/>
        </w:rPr>
        <w:t>10.5 本合同成立后至本合同完全履行完毕前，甲方或乙方发生的一切可能影响或必然影响本合同的生效及履行等的重大事件（如法定代表人变更、因改制、分立、合并、撤消而导致的主体更迭、一方经营状况的重大变化等）应及时以书面方式通知对方，以确保本合同的履行。</w:t>
      </w:r>
    </w:p>
    <w:p w14:paraId="6978F1D8">
      <w:pPr>
        <w:pStyle w:val="6"/>
        <w:widowControl/>
        <w:ind w:left="560" w:hanging="560" w:hangingChars="200"/>
        <w:rPr>
          <w:rFonts w:hint="eastAsia"/>
          <w:highlight w:val="none"/>
        </w:rPr>
      </w:pPr>
      <w:r>
        <w:rPr>
          <w:rFonts w:hint="eastAsia"/>
          <w:highlight w:val="none"/>
        </w:rPr>
        <w:t xml:space="preserve"> </w:t>
      </w:r>
    </w:p>
    <w:p w14:paraId="7AA03627">
      <w:pPr>
        <w:spacing w:line="600" w:lineRule="exact"/>
        <w:ind w:left="984" w:hanging="984"/>
        <w:jc w:val="center"/>
        <w:rPr>
          <w:rFonts w:hint="eastAsia" w:ascii="宋体" w:hAnsi="宋体"/>
          <w:b/>
          <w:bCs/>
          <w:sz w:val="28"/>
          <w:szCs w:val="28"/>
          <w:highlight w:val="none"/>
        </w:rPr>
      </w:pPr>
      <w:r>
        <w:rPr>
          <w:rFonts w:hint="eastAsia" w:ascii="宋体" w:hAnsi="宋体"/>
          <w:b/>
          <w:bCs/>
          <w:sz w:val="28"/>
          <w:szCs w:val="28"/>
          <w:highlight w:val="none"/>
        </w:rPr>
        <w:t>第十一章  其他条款</w:t>
      </w:r>
    </w:p>
    <w:p w14:paraId="4CD0580E">
      <w:pPr>
        <w:spacing w:line="600" w:lineRule="exact"/>
        <w:ind w:left="984" w:hanging="984"/>
        <w:jc w:val="center"/>
        <w:rPr>
          <w:rFonts w:hint="eastAsia" w:ascii="宋体" w:hAnsi="宋体"/>
          <w:b/>
          <w:bCs/>
          <w:sz w:val="28"/>
          <w:szCs w:val="28"/>
          <w:highlight w:val="none"/>
        </w:rPr>
      </w:pPr>
      <w:r>
        <w:rPr>
          <w:rFonts w:hint="eastAsia" w:ascii="宋体" w:hAnsi="宋体"/>
          <w:b/>
          <w:bCs/>
          <w:sz w:val="28"/>
          <w:szCs w:val="28"/>
          <w:highlight w:val="none"/>
        </w:rPr>
        <w:t xml:space="preserve"> </w:t>
      </w:r>
    </w:p>
    <w:p w14:paraId="3A516740">
      <w:pPr>
        <w:pStyle w:val="6"/>
        <w:widowControl/>
        <w:ind w:left="560" w:hanging="560"/>
        <w:rPr>
          <w:rFonts w:hint="eastAsia"/>
          <w:highlight w:val="none"/>
        </w:rPr>
      </w:pPr>
      <w:r>
        <w:rPr>
          <w:rFonts w:hint="eastAsia"/>
          <w:highlight w:val="none"/>
        </w:rPr>
        <w:t xml:space="preserve">11.1 </w:t>
      </w:r>
      <w:r>
        <w:rPr>
          <w:rFonts w:hint="eastAsia"/>
          <w:highlight w:val="none"/>
          <w:lang w:val="en-US" w:eastAsia="zh-CN"/>
        </w:rPr>
        <w:t xml:space="preserve"> </w:t>
      </w:r>
      <w:r>
        <w:rPr>
          <w:rFonts w:hint="eastAsia"/>
          <w:highlight w:val="none"/>
        </w:rPr>
        <w:t>合同附件为不可分割的组成部分，与本合同具有同等的法律效力。</w:t>
      </w:r>
    </w:p>
    <w:p w14:paraId="2E9CFC01">
      <w:pPr>
        <w:pStyle w:val="6"/>
        <w:widowControl/>
        <w:ind w:left="0" w:firstLine="0"/>
        <w:rPr>
          <w:rFonts w:hint="eastAsia"/>
          <w:highlight w:val="none"/>
        </w:rPr>
      </w:pPr>
      <w:r>
        <w:rPr>
          <w:rFonts w:hint="eastAsia"/>
          <w:highlight w:val="none"/>
        </w:rPr>
        <w:t xml:space="preserve">11.2 </w:t>
      </w:r>
      <w:r>
        <w:rPr>
          <w:rFonts w:hint="eastAsia"/>
          <w:highlight w:val="none"/>
          <w:lang w:val="en-US" w:eastAsia="zh-CN"/>
        </w:rPr>
        <w:t xml:space="preserve"> </w:t>
      </w:r>
      <w:r>
        <w:rPr>
          <w:rFonts w:hint="eastAsia"/>
          <w:highlight w:val="none"/>
        </w:rPr>
        <w:t>本合同一式叁份，甲方执两份，乙方执壹份，具同等法律效力。</w:t>
      </w:r>
    </w:p>
    <w:p w14:paraId="3E91C5CC">
      <w:pPr>
        <w:pStyle w:val="6"/>
        <w:widowControl/>
        <w:ind w:left="0" w:firstLine="0"/>
        <w:rPr>
          <w:rFonts w:hint="default" w:eastAsia="宋体"/>
          <w:highlight w:val="none"/>
          <w:lang w:val="en-US" w:eastAsia="zh-CN"/>
        </w:rPr>
      </w:pPr>
      <w:r>
        <w:rPr>
          <w:rFonts w:hint="eastAsia"/>
          <w:highlight w:val="none"/>
        </w:rPr>
        <w:t xml:space="preserve">11.3  </w:t>
      </w:r>
      <w:r>
        <w:rPr>
          <w:rFonts w:hint="eastAsia"/>
          <w:highlight w:val="none"/>
          <w:lang w:val="en-US" w:eastAsia="zh-CN"/>
        </w:rPr>
        <w:t>本合同签订后，由甲方的21个地市分公司负责落地执行。</w:t>
      </w:r>
    </w:p>
    <w:p w14:paraId="110C3EBC">
      <w:pPr>
        <w:pStyle w:val="6"/>
        <w:widowControl/>
        <w:ind w:left="0" w:firstLine="0"/>
        <w:rPr>
          <w:rFonts w:hint="eastAsia"/>
          <w:highlight w:val="none"/>
        </w:rPr>
      </w:pPr>
      <w:r>
        <w:rPr>
          <w:rFonts w:hint="eastAsia"/>
          <w:highlight w:val="none"/>
          <w:lang w:val="en-US" w:eastAsia="zh-CN"/>
        </w:rPr>
        <w:t xml:space="preserve">11.4  </w:t>
      </w:r>
      <w:r>
        <w:rPr>
          <w:rFonts w:hint="eastAsia"/>
          <w:highlight w:val="none"/>
        </w:rPr>
        <w:t>本合同未尽事宜，双方可另行签署补充协议。</w:t>
      </w:r>
    </w:p>
    <w:p w14:paraId="35D710EF">
      <w:pPr>
        <w:spacing w:line="400" w:lineRule="exact"/>
        <w:ind w:right="-867" w:rightChars="-413"/>
        <w:rPr>
          <w:sz w:val="28"/>
          <w:szCs w:val="28"/>
          <w:highlight w:val="none"/>
        </w:rPr>
      </w:pPr>
      <w:r>
        <w:rPr>
          <w:sz w:val="28"/>
          <w:szCs w:val="28"/>
          <w:highlight w:val="none"/>
        </w:rPr>
        <w:t xml:space="preserve"> </w:t>
      </w:r>
    </w:p>
    <w:p w14:paraId="3AE0E5CD">
      <w:pPr>
        <w:spacing w:line="400" w:lineRule="exact"/>
        <w:ind w:right="-867" w:rightChars="-413"/>
        <w:rPr>
          <w:rFonts w:hint="eastAsia"/>
          <w:sz w:val="28"/>
          <w:szCs w:val="28"/>
          <w:highlight w:val="none"/>
        </w:rPr>
      </w:pPr>
    </w:p>
    <w:p w14:paraId="590524B4">
      <w:pPr>
        <w:autoSpaceDE w:val="0"/>
        <w:spacing w:line="360" w:lineRule="auto"/>
        <w:ind w:right="-867" w:rightChars="-413"/>
        <w:rPr>
          <w:sz w:val="28"/>
          <w:szCs w:val="28"/>
          <w:highlight w:val="none"/>
        </w:rPr>
      </w:pPr>
      <w:r>
        <w:rPr>
          <w:sz w:val="28"/>
          <w:szCs w:val="28"/>
          <w:highlight w:val="none"/>
        </w:rPr>
        <w:t xml:space="preserve"> </w:t>
      </w:r>
      <w:r>
        <w:rPr>
          <w:rFonts w:hint="eastAsia" w:ascii="宋体" w:hAnsi="宋体"/>
          <w:sz w:val="28"/>
          <w:szCs w:val="28"/>
          <w:highlight w:val="none"/>
        </w:rPr>
        <w:t>附件目录：</w:t>
      </w:r>
    </w:p>
    <w:p w14:paraId="13960B15">
      <w:pPr>
        <w:pStyle w:val="5"/>
        <w:widowControl/>
        <w:numPr>
          <w:ilvl w:val="3"/>
          <w:numId w:val="4"/>
        </w:numPr>
        <w:autoSpaceDE w:val="0"/>
        <w:spacing w:line="360" w:lineRule="auto"/>
        <w:ind w:right="-867" w:rightChars="-413" w:firstLineChars="0"/>
        <w:rPr>
          <w:rFonts w:hint="eastAsia" w:ascii="宋体" w:hAnsi="宋体"/>
          <w:sz w:val="28"/>
          <w:szCs w:val="28"/>
          <w:highlight w:val="none"/>
        </w:rPr>
      </w:pPr>
      <w:r>
        <w:rPr>
          <w:rFonts w:hint="eastAsia" w:ascii="宋体" w:hAnsi="宋体"/>
          <w:sz w:val="28"/>
          <w:szCs w:val="28"/>
          <w:highlight w:val="none"/>
          <w:lang w:val="en-US" w:eastAsia="zh-CN"/>
        </w:rPr>
        <w:t>蓄电池处置</w:t>
      </w:r>
      <w:r>
        <w:rPr>
          <w:rFonts w:hint="eastAsia" w:ascii="宋体" w:hAnsi="宋体"/>
          <w:sz w:val="28"/>
          <w:szCs w:val="28"/>
          <w:highlight w:val="none"/>
        </w:rPr>
        <w:t>提货通知单</w:t>
      </w:r>
    </w:p>
    <w:p w14:paraId="4A1E2BEA">
      <w:pPr>
        <w:pStyle w:val="5"/>
        <w:widowControl/>
        <w:numPr>
          <w:ilvl w:val="3"/>
          <w:numId w:val="4"/>
        </w:numPr>
        <w:autoSpaceDE w:val="0"/>
        <w:spacing w:line="360" w:lineRule="auto"/>
        <w:ind w:right="-867" w:rightChars="-413" w:firstLineChars="0"/>
        <w:rPr>
          <w:rFonts w:hint="eastAsia" w:ascii="宋体" w:hAnsi="宋体"/>
          <w:sz w:val="28"/>
          <w:szCs w:val="28"/>
          <w:highlight w:val="none"/>
        </w:rPr>
      </w:pPr>
      <w:r>
        <w:rPr>
          <w:rFonts w:hint="eastAsia" w:ascii="宋体" w:hAnsi="宋体"/>
          <w:sz w:val="28"/>
          <w:szCs w:val="28"/>
          <w:highlight w:val="none"/>
        </w:rPr>
        <w:t>报废物资处置实物交接表</w:t>
      </w:r>
    </w:p>
    <w:p w14:paraId="2A079CF7">
      <w:pPr>
        <w:pStyle w:val="5"/>
        <w:widowControl/>
        <w:numPr>
          <w:ilvl w:val="3"/>
          <w:numId w:val="4"/>
        </w:numPr>
        <w:autoSpaceDE w:val="0"/>
        <w:spacing w:line="360" w:lineRule="auto"/>
        <w:ind w:right="-867" w:rightChars="-413" w:firstLineChars="0"/>
        <w:rPr>
          <w:rFonts w:hint="eastAsia"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6</w:t>
      </w:r>
      <w:r>
        <w:rPr>
          <w:rFonts w:hint="eastAsia" w:ascii="宋体" w:hAnsi="宋体"/>
          <w:sz w:val="28"/>
          <w:szCs w:val="28"/>
          <w:highlight w:val="none"/>
        </w:rPr>
        <w:t>年报废蓄电池集中预处置分项报价表</w:t>
      </w:r>
    </w:p>
    <w:p w14:paraId="73F5E7C7">
      <w:pPr>
        <w:pStyle w:val="5"/>
        <w:widowControl/>
        <w:numPr>
          <w:ilvl w:val="0"/>
          <w:numId w:val="0"/>
        </w:numPr>
        <w:autoSpaceDE w:val="0"/>
        <w:spacing w:line="360" w:lineRule="auto"/>
        <w:ind w:left="1254" w:leftChars="0" w:right="-867" w:rightChars="-413"/>
        <w:rPr>
          <w:rFonts w:hint="eastAsia" w:ascii="宋体" w:hAnsi="宋体"/>
          <w:sz w:val="28"/>
          <w:szCs w:val="28"/>
          <w:highlight w:val="none"/>
        </w:rPr>
      </w:pPr>
    </w:p>
    <w:p w14:paraId="7ECD6949">
      <w:pPr>
        <w:spacing w:line="400" w:lineRule="exact"/>
        <w:ind w:right="-867" w:rightChars="-413"/>
        <w:rPr>
          <w:sz w:val="28"/>
          <w:szCs w:val="28"/>
          <w:highlight w:val="none"/>
        </w:rPr>
      </w:pPr>
      <w:r>
        <w:rPr>
          <w:sz w:val="28"/>
          <w:szCs w:val="28"/>
          <w:highlight w:val="none"/>
        </w:rPr>
        <w:t xml:space="preserve"> </w:t>
      </w:r>
    </w:p>
    <w:p w14:paraId="6DE40BD5">
      <w:pPr>
        <w:spacing w:line="400" w:lineRule="exact"/>
        <w:ind w:right="-867" w:rightChars="-413"/>
        <w:rPr>
          <w:rFonts w:hint="eastAsia"/>
          <w:sz w:val="28"/>
          <w:szCs w:val="28"/>
          <w:highlight w:val="none"/>
        </w:rPr>
      </w:pPr>
    </w:p>
    <w:p w14:paraId="381A1221">
      <w:pPr>
        <w:spacing w:line="400" w:lineRule="exact"/>
        <w:ind w:right="-867" w:rightChars="-413"/>
        <w:jc w:val="center"/>
        <w:rPr>
          <w:rFonts w:hint="eastAsia" w:ascii="Times New Roman" w:hAnsi="Times New Roman"/>
          <w:b/>
          <w:bCs/>
          <w:sz w:val="32"/>
          <w:szCs w:val="32"/>
          <w:highlight w:val="none"/>
        </w:rPr>
      </w:pPr>
      <w:r>
        <w:rPr>
          <w:rFonts w:hint="eastAsia" w:ascii="Times New Roman" w:hAnsi="Times New Roman"/>
          <w:b/>
          <w:bCs/>
          <w:sz w:val="32"/>
          <w:szCs w:val="32"/>
          <w:highlight w:val="none"/>
        </w:rPr>
        <w:t xml:space="preserve"> </w:t>
      </w:r>
    </w:p>
    <w:p w14:paraId="54B20944">
      <w:pPr>
        <w:spacing w:line="400" w:lineRule="exact"/>
        <w:ind w:right="-867" w:rightChars="-413"/>
        <w:jc w:val="center"/>
        <w:rPr>
          <w:rFonts w:hint="eastAsia"/>
          <w:b/>
          <w:bCs/>
          <w:sz w:val="32"/>
          <w:szCs w:val="32"/>
          <w:highlight w:val="none"/>
        </w:rPr>
      </w:pPr>
      <w:r>
        <w:rPr>
          <w:rFonts w:hint="eastAsia" w:ascii="宋体" w:hAnsi="宋体"/>
          <w:b/>
          <w:bCs/>
          <w:sz w:val="32"/>
          <w:szCs w:val="32"/>
          <w:highlight w:val="none"/>
        </w:rPr>
        <w:t>签字页：</w:t>
      </w:r>
    </w:p>
    <w:p w14:paraId="428AE3BE">
      <w:pPr>
        <w:spacing w:line="400" w:lineRule="exact"/>
        <w:ind w:right="-867" w:rightChars="-413"/>
        <w:rPr>
          <w:szCs w:val="21"/>
          <w:highlight w:val="none"/>
        </w:rPr>
      </w:pPr>
      <w:r>
        <w:rPr>
          <w:highlight w:val="none"/>
        </w:rPr>
        <w:t xml:space="preserve"> </w:t>
      </w:r>
    </w:p>
    <w:p w14:paraId="0A019910">
      <w:pPr>
        <w:spacing w:line="400" w:lineRule="exact"/>
        <w:ind w:right="-867" w:rightChars="-413"/>
        <w:rPr>
          <w:highlight w:val="none"/>
        </w:rPr>
      </w:pPr>
      <w:r>
        <w:rPr>
          <w:highlight w:val="none"/>
        </w:rPr>
        <w:t xml:space="preserve"> </w:t>
      </w:r>
    </w:p>
    <w:p w14:paraId="0F937CF5">
      <w:pPr>
        <w:spacing w:line="360" w:lineRule="auto"/>
        <w:ind w:left="8995" w:hanging="8995" w:hangingChars="3200"/>
        <w:rPr>
          <w:b w:val="0"/>
          <w:bCs w:val="0"/>
          <w:sz w:val="28"/>
          <w:szCs w:val="28"/>
          <w:highlight w:val="none"/>
        </w:rPr>
      </w:pPr>
      <w:r>
        <w:rPr>
          <w:rFonts w:hint="eastAsia" w:ascii="宋体" w:hAnsi="宋体"/>
          <w:b/>
          <w:bCs/>
          <w:sz w:val="28"/>
          <w:szCs w:val="28"/>
          <w:highlight w:val="none"/>
        </w:rPr>
        <w:t>甲方（盖章）：</w:t>
      </w:r>
      <w:r>
        <w:rPr>
          <w:rFonts w:hint="eastAsia" w:ascii="宋体" w:hAnsi="宋体"/>
          <w:b w:val="0"/>
          <w:bCs w:val="0"/>
          <w:sz w:val="28"/>
          <w:szCs w:val="28"/>
          <w:highlight w:val="none"/>
        </w:rPr>
        <w:t>中国联合网络通信有限公司</w:t>
      </w:r>
      <w:r>
        <w:rPr>
          <w:rFonts w:hint="eastAsia" w:ascii="宋体" w:hAnsi="宋体"/>
          <w:b w:val="0"/>
          <w:bCs w:val="0"/>
          <w:sz w:val="28"/>
          <w:szCs w:val="28"/>
          <w:highlight w:val="none"/>
          <w:lang w:val="en-US" w:eastAsia="zh-CN"/>
        </w:rPr>
        <w:t>四川省</w:t>
      </w:r>
      <w:r>
        <w:rPr>
          <w:rFonts w:hint="eastAsia" w:ascii="宋体" w:hAnsi="宋体"/>
          <w:b w:val="0"/>
          <w:bCs w:val="0"/>
          <w:sz w:val="28"/>
          <w:szCs w:val="28"/>
          <w:highlight w:val="none"/>
        </w:rPr>
        <w:t>分公司</w:t>
      </w:r>
    </w:p>
    <w:p w14:paraId="0B6C0146">
      <w:pPr>
        <w:spacing w:line="360" w:lineRule="auto"/>
        <w:rPr>
          <w:szCs w:val="21"/>
          <w:highlight w:val="none"/>
        </w:rPr>
      </w:pPr>
      <w:r>
        <w:rPr>
          <w:highlight w:val="none"/>
        </w:rPr>
        <w:t xml:space="preserve"> </w:t>
      </w:r>
    </w:p>
    <w:p w14:paraId="5F12D896">
      <w:pPr>
        <w:spacing w:line="360" w:lineRule="auto"/>
        <w:ind w:left="-899" w:leftChars="-428" w:right="-867" w:rightChars="-413" w:firstLine="840" w:firstLineChars="300"/>
        <w:rPr>
          <w:rFonts w:ascii="宋体" w:hAnsi="宋体"/>
          <w:sz w:val="28"/>
          <w:szCs w:val="28"/>
          <w:highlight w:val="none"/>
        </w:rPr>
      </w:pPr>
      <w:r>
        <w:rPr>
          <w:rFonts w:hint="eastAsia" w:ascii="宋体" w:hAnsi="宋体"/>
          <w:sz w:val="28"/>
          <w:szCs w:val="28"/>
          <w:highlight w:val="none"/>
        </w:rPr>
        <w:t xml:space="preserve">签字：  </w:t>
      </w:r>
    </w:p>
    <w:p w14:paraId="5C5BA675">
      <w:pPr>
        <w:spacing w:line="360" w:lineRule="auto"/>
        <w:ind w:left="-899" w:leftChars="-428" w:right="-867" w:rightChars="-413" w:firstLine="840" w:firstLineChars="300"/>
        <w:rPr>
          <w:rFonts w:hint="eastAsia" w:ascii="宋体" w:hAnsi="宋体"/>
          <w:sz w:val="28"/>
          <w:szCs w:val="28"/>
          <w:highlight w:val="none"/>
        </w:rPr>
      </w:pPr>
      <w:r>
        <w:rPr>
          <w:rFonts w:hint="eastAsia" w:ascii="宋体" w:hAnsi="宋体"/>
          <w:sz w:val="28"/>
          <w:szCs w:val="28"/>
          <w:highlight w:val="none"/>
        </w:rPr>
        <w:t xml:space="preserve">     </w:t>
      </w:r>
    </w:p>
    <w:p w14:paraId="34A51139">
      <w:pPr>
        <w:spacing w:line="360" w:lineRule="auto"/>
        <w:ind w:left="-899" w:leftChars="-428" w:right="-867" w:rightChars="-413" w:firstLine="840" w:firstLineChars="300"/>
        <w:rPr>
          <w:rFonts w:hint="eastAsia" w:ascii="宋体" w:hAnsi="宋体"/>
          <w:sz w:val="28"/>
          <w:szCs w:val="28"/>
          <w:highlight w:val="none"/>
        </w:rPr>
      </w:pPr>
      <w:r>
        <w:rPr>
          <w:rFonts w:hint="eastAsia" w:ascii="宋体" w:hAnsi="宋体"/>
          <w:sz w:val="28"/>
          <w:szCs w:val="28"/>
          <w:highlight w:val="none"/>
        </w:rPr>
        <w:t xml:space="preserve">签字日期：    年    月    日                      </w:t>
      </w:r>
    </w:p>
    <w:p w14:paraId="27097FDB">
      <w:pPr>
        <w:spacing w:line="360" w:lineRule="auto"/>
        <w:ind w:right="-867" w:rightChars="-413"/>
        <w:rPr>
          <w:rFonts w:hint="eastAsia" w:ascii="宋体" w:hAnsi="宋体"/>
          <w:sz w:val="28"/>
          <w:szCs w:val="28"/>
          <w:highlight w:val="none"/>
        </w:rPr>
      </w:pPr>
      <w:r>
        <w:rPr>
          <w:rFonts w:hint="eastAsia" w:ascii="宋体" w:hAnsi="宋体"/>
          <w:sz w:val="28"/>
          <w:szCs w:val="28"/>
          <w:highlight w:val="none"/>
        </w:rPr>
        <w:t xml:space="preserve">                            </w:t>
      </w:r>
    </w:p>
    <w:p w14:paraId="44D54016">
      <w:pPr>
        <w:spacing w:line="360" w:lineRule="auto"/>
        <w:ind w:left="-899" w:leftChars="-428" w:right="-867" w:rightChars="-413" w:firstLine="843" w:firstLineChars="300"/>
        <w:rPr>
          <w:rFonts w:hint="eastAsia" w:ascii="宋体" w:hAnsi="宋体"/>
          <w:b/>
          <w:bCs/>
          <w:sz w:val="28"/>
          <w:szCs w:val="28"/>
          <w:highlight w:val="none"/>
        </w:rPr>
      </w:pPr>
      <w:r>
        <w:rPr>
          <w:rFonts w:hint="eastAsia" w:ascii="宋体" w:hAnsi="宋体"/>
          <w:b/>
          <w:bCs/>
          <w:sz w:val="28"/>
          <w:szCs w:val="28"/>
          <w:highlight w:val="none"/>
        </w:rPr>
        <w:t xml:space="preserve"> </w:t>
      </w:r>
    </w:p>
    <w:p w14:paraId="32FAF341">
      <w:pPr>
        <w:spacing w:line="360" w:lineRule="auto"/>
        <w:ind w:left="-899" w:leftChars="-428" w:right="-867" w:rightChars="-413" w:firstLine="843" w:firstLineChars="300"/>
        <w:rPr>
          <w:rFonts w:hint="eastAsia" w:ascii="宋体" w:hAnsi="宋体"/>
          <w:b/>
          <w:bCs/>
          <w:sz w:val="28"/>
          <w:szCs w:val="28"/>
          <w:highlight w:val="none"/>
        </w:rPr>
      </w:pPr>
      <w:r>
        <w:rPr>
          <w:rFonts w:hint="eastAsia" w:ascii="宋体" w:hAnsi="宋体"/>
          <w:b/>
          <w:bCs/>
          <w:sz w:val="28"/>
          <w:szCs w:val="28"/>
          <w:highlight w:val="none"/>
        </w:rPr>
        <w:t>乙方（盖章）：</w:t>
      </w:r>
      <w:r>
        <w:rPr>
          <w:rFonts w:hint="eastAsia" w:ascii="宋体" w:hAnsi="宋体"/>
          <w:sz w:val="30"/>
          <w:szCs w:val="30"/>
          <w:highlight w:val="none"/>
        </w:rPr>
        <w:t xml:space="preserve"> </w:t>
      </w:r>
      <w:r>
        <w:rPr>
          <w:rFonts w:hint="eastAsia" w:ascii="宋体" w:hAnsi="宋体" w:cs="Times New Roman"/>
          <w:bCs w:val="0"/>
          <w:sz w:val="30"/>
          <w:szCs w:val="30"/>
          <w:highlight w:val="none"/>
          <w:lang w:val="en-US" w:eastAsia="zh-CN"/>
        </w:rPr>
        <w:t>XX</w:t>
      </w:r>
      <w:r>
        <w:rPr>
          <w:rFonts w:hint="eastAsia" w:ascii="宋体" w:hAnsi="宋体"/>
          <w:b/>
          <w:bCs/>
          <w:sz w:val="28"/>
          <w:szCs w:val="28"/>
          <w:highlight w:val="none"/>
        </w:rPr>
        <w:t xml:space="preserve"> </w:t>
      </w:r>
    </w:p>
    <w:p w14:paraId="2A1E237B">
      <w:pPr>
        <w:spacing w:line="360" w:lineRule="auto"/>
        <w:ind w:left="-899" w:leftChars="-428" w:right="-867" w:rightChars="-413" w:firstLine="840" w:firstLineChars="300"/>
        <w:rPr>
          <w:rFonts w:hint="eastAsia" w:ascii="宋体" w:hAnsi="宋体"/>
          <w:sz w:val="28"/>
          <w:szCs w:val="28"/>
          <w:highlight w:val="none"/>
        </w:rPr>
      </w:pPr>
      <w:r>
        <w:rPr>
          <w:rFonts w:hint="eastAsia" w:ascii="宋体" w:hAnsi="宋体"/>
          <w:sz w:val="28"/>
          <w:szCs w:val="28"/>
          <w:highlight w:val="none"/>
        </w:rPr>
        <w:t>签字：</w:t>
      </w:r>
    </w:p>
    <w:p w14:paraId="0763CF03">
      <w:pPr>
        <w:spacing w:line="360" w:lineRule="auto"/>
        <w:ind w:left="-899" w:leftChars="-428" w:right="-867" w:rightChars="-413" w:firstLine="840" w:firstLineChars="300"/>
        <w:rPr>
          <w:rFonts w:hint="eastAsia" w:ascii="宋体" w:hAnsi="宋体"/>
          <w:sz w:val="28"/>
          <w:szCs w:val="28"/>
          <w:highlight w:val="none"/>
        </w:rPr>
      </w:pPr>
      <w:r>
        <w:rPr>
          <w:rFonts w:hint="eastAsia" w:ascii="宋体" w:hAnsi="宋体"/>
          <w:sz w:val="28"/>
          <w:szCs w:val="28"/>
          <w:highlight w:val="none"/>
        </w:rPr>
        <w:t xml:space="preserve"> </w:t>
      </w:r>
    </w:p>
    <w:p w14:paraId="550C3E99">
      <w:pPr>
        <w:spacing w:line="360" w:lineRule="auto"/>
        <w:ind w:left="-899" w:leftChars="-428" w:right="-867" w:rightChars="-413"/>
        <w:rPr>
          <w:rFonts w:hint="eastAsia" w:ascii="宋体" w:hAnsi="宋体"/>
          <w:sz w:val="28"/>
          <w:szCs w:val="28"/>
          <w:highlight w:val="none"/>
        </w:rPr>
      </w:pPr>
      <w:r>
        <w:rPr>
          <w:rFonts w:hint="eastAsia" w:ascii="宋体" w:hAnsi="宋体"/>
          <w:sz w:val="28"/>
          <w:szCs w:val="28"/>
          <w:highlight w:val="none"/>
        </w:rPr>
        <w:t xml:space="preserve">      签字日期：    年     月    日</w:t>
      </w:r>
    </w:p>
    <w:p w14:paraId="2A0BC939">
      <w:pPr>
        <w:spacing w:line="360" w:lineRule="auto"/>
        <w:ind w:left="-899" w:leftChars="-428" w:right="-867" w:rightChars="-413"/>
        <w:rPr>
          <w:rFonts w:hint="eastAsia" w:ascii="宋体" w:hAnsi="宋体"/>
          <w:b/>
          <w:bCs/>
          <w:sz w:val="32"/>
          <w:szCs w:val="32"/>
          <w:highlight w:val="none"/>
        </w:rPr>
      </w:pPr>
      <w:r>
        <w:rPr>
          <w:rFonts w:hint="eastAsia" w:ascii="宋体" w:hAnsi="宋体"/>
          <w:sz w:val="28"/>
          <w:szCs w:val="28"/>
          <w:highlight w:val="none"/>
        </w:rPr>
        <w:t xml:space="preserve">     </w:t>
      </w:r>
    </w:p>
    <w:p w14:paraId="18C471A6">
      <w:pPr>
        <w:rPr>
          <w:rFonts w:hint="eastAsia"/>
          <w:szCs w:val="21"/>
          <w:highlight w:val="none"/>
        </w:rPr>
      </w:pPr>
      <w:r>
        <w:rPr>
          <w:highlight w:val="none"/>
        </w:rPr>
        <w:t xml:space="preserve"> </w:t>
      </w:r>
    </w:p>
    <w:p w14:paraId="2537BE6A"/>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3E743E"/>
    <w:multiLevelType w:val="multilevel"/>
    <w:tmpl w:val="043E743E"/>
    <w:lvl w:ilvl="0" w:tentative="0">
      <w:start w:val="1"/>
      <w:numFmt w:val="decimal"/>
      <w:lvlText w:val="2.%1"/>
      <w:lvlJc w:val="left"/>
      <w:pPr>
        <w:tabs>
          <w:tab w:val="left" w:pos="0"/>
        </w:tabs>
        <w:ind w:left="420" w:hanging="420"/>
      </w:pPr>
      <w:rPr>
        <w:rFonts w:hint="default" w:ascii="Times New Roman" w:hAnsi="Times New Roman" w:cs="Times New Roman"/>
      </w:rPr>
    </w:lvl>
    <w:lvl w:ilvl="1" w:tentative="0">
      <w:start w:val="1"/>
      <w:numFmt w:val="lowerLetter"/>
      <w:lvlText w:val="%2)"/>
      <w:lvlJc w:val="left"/>
      <w:pPr>
        <w:tabs>
          <w:tab w:val="left" w:pos="0"/>
        </w:tabs>
        <w:ind w:left="840" w:hanging="420"/>
      </w:pPr>
      <w:rPr>
        <w:rFonts w:hint="default" w:ascii="Times New Roman" w:hAnsi="Times New Roman" w:cs="Times New Roman"/>
      </w:rPr>
    </w:lvl>
    <w:lvl w:ilvl="2" w:tentative="0">
      <w:start w:val="1"/>
      <w:numFmt w:val="lowerRoman"/>
      <w:lvlText w:val="%3."/>
      <w:lvlJc w:val="right"/>
      <w:pPr>
        <w:tabs>
          <w:tab w:val="left" w:pos="0"/>
        </w:tabs>
        <w:ind w:left="1260" w:hanging="420"/>
      </w:pPr>
      <w:rPr>
        <w:rFonts w:hint="default" w:ascii="Times New Roman" w:hAnsi="Times New Roman" w:cs="Times New Roman"/>
      </w:rPr>
    </w:lvl>
    <w:lvl w:ilvl="3" w:tentative="0">
      <w:start w:val="1"/>
      <w:numFmt w:val="decimal"/>
      <w:lvlText w:val="%4."/>
      <w:lvlJc w:val="left"/>
      <w:pPr>
        <w:tabs>
          <w:tab w:val="left" w:pos="0"/>
        </w:tabs>
        <w:ind w:left="1680" w:hanging="420"/>
      </w:pPr>
      <w:rPr>
        <w:rFonts w:hint="default" w:ascii="Times New Roman" w:hAnsi="Times New Roman" w:cs="Times New Roman"/>
      </w:rPr>
    </w:lvl>
    <w:lvl w:ilvl="4" w:tentative="0">
      <w:start w:val="1"/>
      <w:numFmt w:val="lowerLetter"/>
      <w:lvlText w:val="%5)"/>
      <w:lvlJc w:val="left"/>
      <w:pPr>
        <w:tabs>
          <w:tab w:val="left" w:pos="0"/>
        </w:tabs>
        <w:ind w:left="2100" w:hanging="420"/>
      </w:pPr>
      <w:rPr>
        <w:rFonts w:hint="default" w:ascii="Times New Roman" w:hAnsi="Times New Roman" w:cs="Times New Roman"/>
      </w:rPr>
    </w:lvl>
    <w:lvl w:ilvl="5" w:tentative="0">
      <w:start w:val="1"/>
      <w:numFmt w:val="lowerRoman"/>
      <w:lvlText w:val="%6."/>
      <w:lvlJc w:val="right"/>
      <w:pPr>
        <w:tabs>
          <w:tab w:val="left" w:pos="0"/>
        </w:tabs>
        <w:ind w:left="2520" w:hanging="420"/>
      </w:pPr>
      <w:rPr>
        <w:rFonts w:hint="default" w:ascii="Times New Roman" w:hAnsi="Times New Roman" w:cs="Times New Roman"/>
      </w:rPr>
    </w:lvl>
    <w:lvl w:ilvl="6" w:tentative="0">
      <w:start w:val="1"/>
      <w:numFmt w:val="decimal"/>
      <w:lvlText w:val="%7."/>
      <w:lvlJc w:val="left"/>
      <w:pPr>
        <w:tabs>
          <w:tab w:val="left" w:pos="0"/>
        </w:tabs>
        <w:ind w:left="2940" w:hanging="420"/>
      </w:pPr>
      <w:rPr>
        <w:rFonts w:hint="default" w:ascii="Times New Roman" w:hAnsi="Times New Roman" w:cs="Times New Roman"/>
      </w:rPr>
    </w:lvl>
    <w:lvl w:ilvl="7" w:tentative="0">
      <w:start w:val="1"/>
      <w:numFmt w:val="lowerLetter"/>
      <w:lvlText w:val="%8)"/>
      <w:lvlJc w:val="left"/>
      <w:pPr>
        <w:tabs>
          <w:tab w:val="left" w:pos="0"/>
        </w:tabs>
        <w:ind w:left="3360" w:hanging="420"/>
      </w:pPr>
      <w:rPr>
        <w:rFonts w:hint="default" w:ascii="Times New Roman" w:hAnsi="Times New Roman" w:cs="Times New Roman"/>
      </w:rPr>
    </w:lvl>
    <w:lvl w:ilvl="8" w:tentative="0">
      <w:start w:val="1"/>
      <w:numFmt w:val="lowerRoman"/>
      <w:lvlText w:val="%9."/>
      <w:lvlJc w:val="right"/>
      <w:pPr>
        <w:tabs>
          <w:tab w:val="left" w:pos="0"/>
        </w:tabs>
        <w:ind w:left="3780" w:hanging="420"/>
      </w:pPr>
      <w:rPr>
        <w:rFonts w:hint="default" w:ascii="Times New Roman" w:hAnsi="Times New Roman" w:cs="Times New Roman"/>
      </w:rPr>
    </w:lvl>
  </w:abstractNum>
  <w:abstractNum w:abstractNumId="1">
    <w:nsid w:val="2750584A"/>
    <w:multiLevelType w:val="multilevel"/>
    <w:tmpl w:val="2750584A"/>
    <w:lvl w:ilvl="0" w:tentative="0">
      <w:start w:val="5"/>
      <w:numFmt w:val="decimal"/>
      <w:lvlText w:val="%1"/>
      <w:lvlJc w:val="left"/>
      <w:pPr>
        <w:tabs>
          <w:tab w:val="left" w:pos="0"/>
        </w:tabs>
        <w:ind w:left="720" w:hanging="720"/>
      </w:pPr>
      <w:rPr>
        <w:rFonts w:hint="default" w:ascii="Times New Roman" w:hAnsi="Times New Roman" w:cs="Times New Roman"/>
      </w:rPr>
    </w:lvl>
    <w:lvl w:ilvl="1" w:tentative="0">
      <w:start w:val="1"/>
      <w:numFmt w:val="decimal"/>
      <w:lvlText w:val="%1.%2"/>
      <w:lvlJc w:val="left"/>
      <w:pPr>
        <w:tabs>
          <w:tab w:val="left" w:pos="0"/>
        </w:tabs>
        <w:ind w:left="930" w:hanging="720"/>
      </w:pPr>
      <w:rPr>
        <w:rFonts w:hint="default" w:ascii="Times New Roman" w:hAnsi="Times New Roman" w:cs="Times New Roman"/>
      </w:rPr>
    </w:lvl>
    <w:lvl w:ilvl="2" w:tentative="0">
      <w:start w:val="3"/>
      <w:numFmt w:val="decimal"/>
      <w:lvlText w:val="%1.%2.%3"/>
      <w:lvlJc w:val="left"/>
      <w:pPr>
        <w:tabs>
          <w:tab w:val="left" w:pos="0"/>
        </w:tabs>
        <w:ind w:left="1140" w:hanging="720"/>
      </w:pPr>
      <w:rPr>
        <w:rFonts w:hint="default" w:ascii="Times New Roman" w:hAnsi="Times New Roman" w:cs="Times New Roman"/>
      </w:rPr>
    </w:lvl>
    <w:lvl w:ilvl="3" w:tentative="0">
      <w:start w:val="1"/>
      <w:numFmt w:val="decimal"/>
      <w:lvlText w:val="%1.%2.%3.%4"/>
      <w:lvlJc w:val="left"/>
      <w:pPr>
        <w:tabs>
          <w:tab w:val="left" w:pos="0"/>
        </w:tabs>
        <w:ind w:left="1710" w:hanging="1080"/>
      </w:pPr>
      <w:rPr>
        <w:rFonts w:hint="default" w:ascii="Times New Roman" w:hAnsi="Times New Roman" w:cs="Times New Roman"/>
      </w:rPr>
    </w:lvl>
    <w:lvl w:ilvl="4" w:tentative="0">
      <w:start w:val="1"/>
      <w:numFmt w:val="decimal"/>
      <w:lvlText w:val="%1.%2.%3.%4.%5"/>
      <w:lvlJc w:val="left"/>
      <w:pPr>
        <w:tabs>
          <w:tab w:val="left" w:pos="0"/>
        </w:tabs>
        <w:ind w:left="2280" w:hanging="1440"/>
      </w:pPr>
      <w:rPr>
        <w:rFonts w:hint="default" w:ascii="Times New Roman" w:hAnsi="Times New Roman" w:cs="Times New Roman"/>
      </w:rPr>
    </w:lvl>
    <w:lvl w:ilvl="5" w:tentative="0">
      <w:start w:val="1"/>
      <w:numFmt w:val="decimal"/>
      <w:lvlText w:val="%1.%2.%3.%4.%5.%6"/>
      <w:lvlJc w:val="left"/>
      <w:pPr>
        <w:tabs>
          <w:tab w:val="left" w:pos="0"/>
        </w:tabs>
        <w:ind w:left="2850" w:hanging="1800"/>
      </w:pPr>
      <w:rPr>
        <w:rFonts w:hint="default" w:ascii="Times New Roman" w:hAnsi="Times New Roman" w:cs="Times New Roman"/>
      </w:rPr>
    </w:lvl>
    <w:lvl w:ilvl="6" w:tentative="0">
      <w:start w:val="1"/>
      <w:numFmt w:val="decimal"/>
      <w:lvlText w:val="%1.%2.%3.%4.%5.%6.%7"/>
      <w:lvlJc w:val="left"/>
      <w:pPr>
        <w:tabs>
          <w:tab w:val="left" w:pos="0"/>
        </w:tabs>
        <w:ind w:left="3420" w:hanging="2160"/>
      </w:pPr>
      <w:rPr>
        <w:rFonts w:hint="default" w:ascii="Times New Roman" w:hAnsi="Times New Roman" w:cs="Times New Roman"/>
      </w:rPr>
    </w:lvl>
    <w:lvl w:ilvl="7" w:tentative="0">
      <w:start w:val="1"/>
      <w:numFmt w:val="decimal"/>
      <w:lvlText w:val="%1.%2.%3.%4.%5.%6.%7.%8"/>
      <w:lvlJc w:val="left"/>
      <w:pPr>
        <w:tabs>
          <w:tab w:val="left" w:pos="0"/>
        </w:tabs>
        <w:ind w:left="3630" w:hanging="2160"/>
      </w:pPr>
      <w:rPr>
        <w:rFonts w:hint="default" w:ascii="Times New Roman" w:hAnsi="Times New Roman" w:cs="Times New Roman"/>
      </w:rPr>
    </w:lvl>
    <w:lvl w:ilvl="8" w:tentative="0">
      <w:start w:val="1"/>
      <w:numFmt w:val="decimal"/>
      <w:lvlText w:val="%1.%2.%3.%4.%5.%6.%7.%8.%9"/>
      <w:lvlJc w:val="left"/>
      <w:pPr>
        <w:tabs>
          <w:tab w:val="left" w:pos="0"/>
        </w:tabs>
        <w:ind w:left="4200" w:hanging="2520"/>
      </w:pPr>
      <w:rPr>
        <w:rFonts w:hint="default" w:ascii="Times New Roman" w:hAnsi="Times New Roman" w:cs="Times New Roman"/>
      </w:rPr>
    </w:lvl>
  </w:abstractNum>
  <w:abstractNum w:abstractNumId="2">
    <w:nsid w:val="2F7319ED"/>
    <w:multiLevelType w:val="multilevel"/>
    <w:tmpl w:val="2F7319ED"/>
    <w:lvl w:ilvl="0" w:tentative="0">
      <w:start w:val="5"/>
      <w:numFmt w:val="decimal"/>
      <w:lvlText w:val="%1"/>
      <w:lvlJc w:val="left"/>
      <w:pPr>
        <w:tabs>
          <w:tab w:val="left" w:pos="0"/>
        </w:tabs>
        <w:ind w:left="450" w:hanging="450"/>
      </w:pPr>
      <w:rPr>
        <w:rFonts w:hint="default" w:ascii="Times New Roman" w:hAnsi="Times New Roman" w:cs="Times New Roman"/>
      </w:rPr>
    </w:lvl>
    <w:lvl w:ilvl="1" w:tentative="0">
      <w:start w:val="1"/>
      <w:numFmt w:val="decimal"/>
      <w:lvlText w:val="%1.%2"/>
      <w:lvlJc w:val="left"/>
      <w:pPr>
        <w:tabs>
          <w:tab w:val="left" w:pos="0"/>
        </w:tabs>
        <w:ind w:left="720" w:hanging="720"/>
      </w:pPr>
      <w:rPr>
        <w:rFonts w:hint="default" w:ascii="Times New Roman" w:hAnsi="Times New Roman" w:cs="Times New Roman"/>
      </w:rPr>
    </w:lvl>
    <w:lvl w:ilvl="2" w:tentative="0">
      <w:start w:val="1"/>
      <w:numFmt w:val="decimal"/>
      <w:lvlText w:val="%1.%2.%3"/>
      <w:lvlJc w:val="left"/>
      <w:pPr>
        <w:tabs>
          <w:tab w:val="left" w:pos="0"/>
        </w:tabs>
        <w:ind w:left="2400" w:hanging="720"/>
      </w:pPr>
      <w:rPr>
        <w:rFonts w:hint="default" w:ascii="Times New Roman" w:hAnsi="Times New Roman" w:cs="Times New Roman"/>
        <w:sz w:val="28"/>
        <w:szCs w:val="28"/>
      </w:rPr>
    </w:lvl>
    <w:lvl w:ilvl="3" w:tentative="0">
      <w:start w:val="1"/>
      <w:numFmt w:val="decimal"/>
      <w:lvlText w:val="%1.%2.%3.%4"/>
      <w:lvlJc w:val="left"/>
      <w:pPr>
        <w:tabs>
          <w:tab w:val="left" w:pos="0"/>
        </w:tabs>
        <w:ind w:left="3600" w:hanging="1080"/>
      </w:pPr>
      <w:rPr>
        <w:rFonts w:hint="default" w:ascii="Times New Roman" w:hAnsi="Times New Roman" w:cs="Times New Roman"/>
      </w:rPr>
    </w:lvl>
    <w:lvl w:ilvl="4" w:tentative="0">
      <w:start w:val="1"/>
      <w:numFmt w:val="decimal"/>
      <w:lvlText w:val="%1.%2.%3.%4.%5"/>
      <w:lvlJc w:val="left"/>
      <w:pPr>
        <w:tabs>
          <w:tab w:val="left" w:pos="0"/>
        </w:tabs>
        <w:ind w:left="4800" w:hanging="1440"/>
      </w:pPr>
      <w:rPr>
        <w:rFonts w:hint="default" w:ascii="Times New Roman" w:hAnsi="Times New Roman" w:cs="Times New Roman"/>
      </w:rPr>
    </w:lvl>
    <w:lvl w:ilvl="5" w:tentative="0">
      <w:start w:val="1"/>
      <w:numFmt w:val="decimal"/>
      <w:lvlText w:val="%1.%2.%3.%4.%5.%6"/>
      <w:lvlJc w:val="left"/>
      <w:pPr>
        <w:tabs>
          <w:tab w:val="left" w:pos="0"/>
        </w:tabs>
        <w:ind w:left="6000" w:hanging="1800"/>
      </w:pPr>
      <w:rPr>
        <w:rFonts w:hint="default" w:ascii="Times New Roman" w:hAnsi="Times New Roman" w:cs="Times New Roman"/>
      </w:rPr>
    </w:lvl>
    <w:lvl w:ilvl="6" w:tentative="0">
      <w:start w:val="1"/>
      <w:numFmt w:val="decimal"/>
      <w:lvlText w:val="%1.%2.%3.%4.%5.%6.%7"/>
      <w:lvlJc w:val="left"/>
      <w:pPr>
        <w:tabs>
          <w:tab w:val="left" w:pos="0"/>
        </w:tabs>
        <w:ind w:left="7200" w:hanging="2160"/>
      </w:pPr>
      <w:rPr>
        <w:rFonts w:hint="default" w:ascii="Times New Roman" w:hAnsi="Times New Roman" w:cs="Times New Roman"/>
      </w:rPr>
    </w:lvl>
    <w:lvl w:ilvl="7" w:tentative="0">
      <w:start w:val="1"/>
      <w:numFmt w:val="decimal"/>
      <w:lvlText w:val="%1.%2.%3.%4.%5.%6.%7.%8"/>
      <w:lvlJc w:val="left"/>
      <w:pPr>
        <w:tabs>
          <w:tab w:val="left" w:pos="0"/>
        </w:tabs>
        <w:ind w:left="8040" w:hanging="2160"/>
      </w:pPr>
      <w:rPr>
        <w:rFonts w:hint="default" w:ascii="Times New Roman" w:hAnsi="Times New Roman" w:cs="Times New Roman"/>
      </w:rPr>
    </w:lvl>
    <w:lvl w:ilvl="8" w:tentative="0">
      <w:start w:val="1"/>
      <w:numFmt w:val="decimal"/>
      <w:lvlText w:val="%1.%2.%3.%4.%5.%6.%7.%8.%9"/>
      <w:lvlJc w:val="left"/>
      <w:pPr>
        <w:tabs>
          <w:tab w:val="left" w:pos="0"/>
        </w:tabs>
        <w:ind w:left="9240" w:hanging="2520"/>
      </w:pPr>
      <w:rPr>
        <w:rFonts w:hint="default" w:ascii="Times New Roman" w:hAnsi="Times New Roman" w:cs="Times New Roman"/>
      </w:rPr>
    </w:lvl>
  </w:abstractNum>
  <w:abstractNum w:abstractNumId="3">
    <w:nsid w:val="3356358C"/>
    <w:multiLevelType w:val="multilevel"/>
    <w:tmpl w:val="3356358C"/>
    <w:lvl w:ilvl="0" w:tentative="0">
      <w:start w:val="1"/>
      <w:numFmt w:val="decimal"/>
      <w:lvlText w:val="6.%1"/>
      <w:lvlJc w:val="left"/>
      <w:pPr>
        <w:tabs>
          <w:tab w:val="left" w:pos="562"/>
        </w:tabs>
        <w:ind w:left="562" w:hanging="420"/>
      </w:pPr>
      <w:rPr>
        <w:rFonts w:hint="default" w:ascii="Times New Roman" w:hAnsi="Times New Roman" w:cs="Times New Roman"/>
      </w:rPr>
    </w:lvl>
    <w:lvl w:ilvl="1" w:tentative="0">
      <w:start w:val="1"/>
      <w:numFmt w:val="lowerLetter"/>
      <w:lvlText w:val="%2)"/>
      <w:lvlJc w:val="left"/>
      <w:pPr>
        <w:tabs>
          <w:tab w:val="left" w:pos="0"/>
        </w:tabs>
        <w:ind w:left="420" w:hanging="420"/>
      </w:pPr>
      <w:rPr>
        <w:rFonts w:hint="default" w:ascii="Times New Roman" w:hAnsi="Times New Roman" w:cs="Times New Roman"/>
      </w:rPr>
    </w:lvl>
    <w:lvl w:ilvl="2" w:tentative="0">
      <w:start w:val="1"/>
      <w:numFmt w:val="lowerRoman"/>
      <w:lvlText w:val="%3."/>
      <w:lvlJc w:val="right"/>
      <w:pPr>
        <w:tabs>
          <w:tab w:val="left" w:pos="0"/>
        </w:tabs>
        <w:ind w:left="840" w:hanging="420"/>
      </w:pPr>
      <w:rPr>
        <w:rFonts w:hint="default" w:ascii="Times New Roman" w:hAnsi="Times New Roman" w:cs="Times New Roman"/>
      </w:rPr>
    </w:lvl>
    <w:lvl w:ilvl="3" w:tentative="0">
      <w:start w:val="1"/>
      <w:numFmt w:val="decimal"/>
      <w:lvlText w:val="%4."/>
      <w:lvlJc w:val="left"/>
      <w:pPr>
        <w:tabs>
          <w:tab w:val="left" w:pos="0"/>
        </w:tabs>
        <w:ind w:left="1260" w:hanging="420"/>
      </w:pPr>
      <w:rPr>
        <w:rFonts w:hint="default" w:ascii="Times New Roman" w:hAnsi="Times New Roman" w:cs="Times New Roman"/>
      </w:rPr>
    </w:lvl>
    <w:lvl w:ilvl="4" w:tentative="0">
      <w:start w:val="1"/>
      <w:numFmt w:val="lowerLetter"/>
      <w:lvlText w:val="%5)"/>
      <w:lvlJc w:val="left"/>
      <w:pPr>
        <w:tabs>
          <w:tab w:val="left" w:pos="0"/>
        </w:tabs>
        <w:ind w:left="1680" w:hanging="420"/>
      </w:pPr>
      <w:rPr>
        <w:rFonts w:hint="default" w:ascii="Times New Roman" w:hAnsi="Times New Roman" w:cs="Times New Roman"/>
      </w:rPr>
    </w:lvl>
    <w:lvl w:ilvl="5" w:tentative="0">
      <w:start w:val="1"/>
      <w:numFmt w:val="lowerRoman"/>
      <w:lvlText w:val="%6."/>
      <w:lvlJc w:val="right"/>
      <w:pPr>
        <w:tabs>
          <w:tab w:val="left" w:pos="0"/>
        </w:tabs>
        <w:ind w:left="2100" w:hanging="420"/>
      </w:pPr>
      <w:rPr>
        <w:rFonts w:hint="default" w:ascii="Times New Roman" w:hAnsi="Times New Roman" w:cs="Times New Roman"/>
      </w:rPr>
    </w:lvl>
    <w:lvl w:ilvl="6" w:tentative="0">
      <w:start w:val="1"/>
      <w:numFmt w:val="decimal"/>
      <w:lvlText w:val="%7."/>
      <w:lvlJc w:val="left"/>
      <w:pPr>
        <w:tabs>
          <w:tab w:val="left" w:pos="0"/>
        </w:tabs>
        <w:ind w:left="2520" w:hanging="420"/>
      </w:pPr>
      <w:rPr>
        <w:rFonts w:hint="default" w:ascii="Times New Roman" w:hAnsi="Times New Roman" w:cs="Times New Roman"/>
      </w:rPr>
    </w:lvl>
    <w:lvl w:ilvl="7" w:tentative="0">
      <w:start w:val="1"/>
      <w:numFmt w:val="lowerLetter"/>
      <w:lvlText w:val="%8)"/>
      <w:lvlJc w:val="left"/>
      <w:pPr>
        <w:tabs>
          <w:tab w:val="left" w:pos="0"/>
        </w:tabs>
        <w:ind w:left="2940" w:hanging="420"/>
      </w:pPr>
      <w:rPr>
        <w:rFonts w:hint="default" w:ascii="Times New Roman" w:hAnsi="Times New Roman" w:cs="Times New Roman"/>
      </w:rPr>
    </w:lvl>
    <w:lvl w:ilvl="8" w:tentative="0">
      <w:start w:val="1"/>
      <w:numFmt w:val="lowerRoman"/>
      <w:lvlText w:val="%9."/>
      <w:lvlJc w:val="right"/>
      <w:pPr>
        <w:tabs>
          <w:tab w:val="left" w:pos="0"/>
        </w:tabs>
        <w:ind w:left="3360" w:hanging="420"/>
      </w:pPr>
      <w:rPr>
        <w:rFonts w:hint="default" w:ascii="Times New Roman" w:hAnsi="Times New Roman" w:cs="Times New Roman"/>
      </w:rPr>
    </w:lvl>
  </w:abstractNum>
  <w:abstractNum w:abstractNumId="4">
    <w:nsid w:val="35007895"/>
    <w:multiLevelType w:val="multilevel"/>
    <w:tmpl w:val="35007895"/>
    <w:lvl w:ilvl="0" w:tentative="0">
      <w:start w:val="1"/>
      <w:numFmt w:val="decimal"/>
      <w:lvlText w:val="3.%1"/>
      <w:lvlJc w:val="left"/>
      <w:pPr>
        <w:tabs>
          <w:tab w:val="left" w:pos="0"/>
        </w:tabs>
        <w:ind w:left="420" w:hanging="420"/>
      </w:pPr>
      <w:rPr>
        <w:rFonts w:hint="default" w:ascii="Times New Roman" w:hAnsi="Times New Roman" w:cs="Times New Roman"/>
      </w:rPr>
    </w:lvl>
    <w:lvl w:ilvl="1" w:tentative="0">
      <w:start w:val="1"/>
      <w:numFmt w:val="lowerLetter"/>
      <w:lvlText w:val="%2)"/>
      <w:lvlJc w:val="left"/>
      <w:pPr>
        <w:tabs>
          <w:tab w:val="left" w:pos="0"/>
        </w:tabs>
        <w:ind w:left="834" w:hanging="420"/>
      </w:pPr>
      <w:rPr>
        <w:rFonts w:hint="default" w:ascii="Times New Roman" w:hAnsi="Times New Roman" w:cs="Times New Roman"/>
      </w:rPr>
    </w:lvl>
    <w:lvl w:ilvl="2" w:tentative="0">
      <w:start w:val="1"/>
      <w:numFmt w:val="lowerRoman"/>
      <w:lvlText w:val="%3."/>
      <w:lvlJc w:val="right"/>
      <w:pPr>
        <w:tabs>
          <w:tab w:val="left" w:pos="0"/>
        </w:tabs>
        <w:ind w:left="1254" w:hanging="420"/>
      </w:pPr>
      <w:rPr>
        <w:rFonts w:hint="default" w:ascii="Times New Roman" w:hAnsi="Times New Roman" w:cs="Times New Roman"/>
      </w:rPr>
    </w:lvl>
    <w:lvl w:ilvl="3" w:tentative="0">
      <w:start w:val="1"/>
      <w:numFmt w:val="decimal"/>
      <w:lvlText w:val="%4."/>
      <w:lvlJc w:val="left"/>
      <w:pPr>
        <w:tabs>
          <w:tab w:val="left" w:pos="0"/>
        </w:tabs>
        <w:ind w:left="1674" w:hanging="420"/>
      </w:pPr>
      <w:rPr>
        <w:rFonts w:hint="default" w:ascii="Times New Roman" w:hAnsi="Times New Roman" w:cs="Times New Roman"/>
      </w:rPr>
    </w:lvl>
    <w:lvl w:ilvl="4" w:tentative="0">
      <w:start w:val="1"/>
      <w:numFmt w:val="lowerLetter"/>
      <w:lvlText w:val="%5)"/>
      <w:lvlJc w:val="left"/>
      <w:pPr>
        <w:tabs>
          <w:tab w:val="left" w:pos="0"/>
        </w:tabs>
        <w:ind w:left="2094" w:hanging="420"/>
      </w:pPr>
      <w:rPr>
        <w:rFonts w:hint="default" w:ascii="Times New Roman" w:hAnsi="Times New Roman" w:cs="Times New Roman"/>
      </w:rPr>
    </w:lvl>
    <w:lvl w:ilvl="5" w:tentative="0">
      <w:start w:val="1"/>
      <w:numFmt w:val="lowerRoman"/>
      <w:lvlText w:val="%6."/>
      <w:lvlJc w:val="right"/>
      <w:pPr>
        <w:tabs>
          <w:tab w:val="left" w:pos="0"/>
        </w:tabs>
        <w:ind w:left="2514" w:hanging="420"/>
      </w:pPr>
      <w:rPr>
        <w:rFonts w:hint="default" w:ascii="Times New Roman" w:hAnsi="Times New Roman" w:cs="Times New Roman"/>
      </w:rPr>
    </w:lvl>
    <w:lvl w:ilvl="6" w:tentative="0">
      <w:start w:val="1"/>
      <w:numFmt w:val="decimal"/>
      <w:lvlText w:val="%7."/>
      <w:lvlJc w:val="left"/>
      <w:pPr>
        <w:tabs>
          <w:tab w:val="left" w:pos="0"/>
        </w:tabs>
        <w:ind w:left="2934" w:hanging="420"/>
      </w:pPr>
      <w:rPr>
        <w:rFonts w:hint="default" w:ascii="Times New Roman" w:hAnsi="Times New Roman" w:cs="Times New Roman"/>
      </w:rPr>
    </w:lvl>
    <w:lvl w:ilvl="7" w:tentative="0">
      <w:start w:val="1"/>
      <w:numFmt w:val="lowerLetter"/>
      <w:lvlText w:val="%8)"/>
      <w:lvlJc w:val="left"/>
      <w:pPr>
        <w:tabs>
          <w:tab w:val="left" w:pos="0"/>
        </w:tabs>
        <w:ind w:left="3354" w:hanging="420"/>
      </w:pPr>
      <w:rPr>
        <w:rFonts w:hint="default" w:ascii="Times New Roman" w:hAnsi="Times New Roman" w:cs="Times New Roman"/>
      </w:rPr>
    </w:lvl>
    <w:lvl w:ilvl="8" w:tentative="0">
      <w:start w:val="1"/>
      <w:numFmt w:val="lowerRoman"/>
      <w:lvlText w:val="%9."/>
      <w:lvlJc w:val="right"/>
      <w:pPr>
        <w:tabs>
          <w:tab w:val="left" w:pos="0"/>
        </w:tabs>
        <w:ind w:left="3774" w:hanging="420"/>
      </w:pPr>
      <w:rPr>
        <w:rFonts w:hint="default" w:ascii="Times New Roman" w:hAnsi="Times New Roman" w:cs="Times New Roman"/>
      </w:rPr>
    </w:lvl>
  </w:abstractNum>
  <w:abstractNum w:abstractNumId="5">
    <w:nsid w:val="41017314"/>
    <w:multiLevelType w:val="multilevel"/>
    <w:tmpl w:val="41017314"/>
    <w:lvl w:ilvl="0" w:tentative="0">
      <w:start w:val="1"/>
      <w:numFmt w:val="japaneseCounting"/>
      <w:lvlText w:val="第%1章"/>
      <w:lvlJc w:val="left"/>
      <w:pPr>
        <w:tabs>
          <w:tab w:val="left" w:pos="0"/>
        </w:tabs>
        <w:ind w:left="1230" w:hanging="1230"/>
      </w:pPr>
      <w:rPr>
        <w:rFonts w:hint="default" w:ascii="Times New Roman" w:hAnsi="Times New Roman" w:cs="Times New Roman"/>
      </w:rPr>
    </w:lvl>
    <w:lvl w:ilvl="1" w:tentative="0">
      <w:start w:val="1"/>
      <w:numFmt w:val="lowerLetter"/>
      <w:lvlText w:val="%2)"/>
      <w:lvlJc w:val="left"/>
      <w:pPr>
        <w:tabs>
          <w:tab w:val="left" w:pos="0"/>
        </w:tabs>
        <w:ind w:left="840" w:hanging="420"/>
      </w:pPr>
      <w:rPr>
        <w:rFonts w:hint="default" w:ascii="Times New Roman" w:hAnsi="Times New Roman" w:cs="Times New Roman"/>
      </w:rPr>
    </w:lvl>
    <w:lvl w:ilvl="2" w:tentative="0">
      <w:start w:val="1"/>
      <w:numFmt w:val="lowerRoman"/>
      <w:lvlText w:val="%3."/>
      <w:lvlJc w:val="right"/>
      <w:pPr>
        <w:tabs>
          <w:tab w:val="left" w:pos="0"/>
        </w:tabs>
        <w:ind w:left="1260" w:hanging="420"/>
      </w:pPr>
      <w:rPr>
        <w:rFonts w:hint="default" w:ascii="Times New Roman" w:hAnsi="Times New Roman" w:cs="Times New Roman"/>
      </w:rPr>
    </w:lvl>
    <w:lvl w:ilvl="3" w:tentative="0">
      <w:start w:val="1"/>
      <w:numFmt w:val="decimal"/>
      <w:lvlText w:val="%4."/>
      <w:lvlJc w:val="left"/>
      <w:pPr>
        <w:tabs>
          <w:tab w:val="left" w:pos="0"/>
        </w:tabs>
        <w:ind w:left="1680" w:hanging="420"/>
      </w:pPr>
      <w:rPr>
        <w:rFonts w:hint="default" w:ascii="Times New Roman" w:hAnsi="Times New Roman" w:cs="Times New Roman"/>
      </w:rPr>
    </w:lvl>
    <w:lvl w:ilvl="4" w:tentative="0">
      <w:start w:val="1"/>
      <w:numFmt w:val="lowerLetter"/>
      <w:lvlText w:val="%5)"/>
      <w:lvlJc w:val="left"/>
      <w:pPr>
        <w:tabs>
          <w:tab w:val="left" w:pos="0"/>
        </w:tabs>
        <w:ind w:left="2100" w:hanging="420"/>
      </w:pPr>
      <w:rPr>
        <w:rFonts w:hint="default" w:ascii="Times New Roman" w:hAnsi="Times New Roman" w:cs="Times New Roman"/>
      </w:rPr>
    </w:lvl>
    <w:lvl w:ilvl="5" w:tentative="0">
      <w:start w:val="1"/>
      <w:numFmt w:val="lowerRoman"/>
      <w:lvlText w:val="%6."/>
      <w:lvlJc w:val="right"/>
      <w:pPr>
        <w:tabs>
          <w:tab w:val="left" w:pos="0"/>
        </w:tabs>
        <w:ind w:left="2520" w:hanging="420"/>
      </w:pPr>
      <w:rPr>
        <w:rFonts w:hint="default" w:ascii="Times New Roman" w:hAnsi="Times New Roman" w:cs="Times New Roman"/>
      </w:rPr>
    </w:lvl>
    <w:lvl w:ilvl="6" w:tentative="0">
      <w:start w:val="1"/>
      <w:numFmt w:val="decimal"/>
      <w:lvlText w:val="%7."/>
      <w:lvlJc w:val="left"/>
      <w:pPr>
        <w:tabs>
          <w:tab w:val="left" w:pos="0"/>
        </w:tabs>
        <w:ind w:left="2940" w:hanging="420"/>
      </w:pPr>
      <w:rPr>
        <w:rFonts w:hint="default" w:ascii="Times New Roman" w:hAnsi="Times New Roman" w:cs="Times New Roman"/>
      </w:rPr>
    </w:lvl>
    <w:lvl w:ilvl="7" w:tentative="0">
      <w:start w:val="1"/>
      <w:numFmt w:val="lowerLetter"/>
      <w:lvlText w:val="%8)"/>
      <w:lvlJc w:val="left"/>
      <w:pPr>
        <w:tabs>
          <w:tab w:val="left" w:pos="0"/>
        </w:tabs>
        <w:ind w:left="3360" w:hanging="420"/>
      </w:pPr>
      <w:rPr>
        <w:rFonts w:hint="default" w:ascii="Times New Roman" w:hAnsi="Times New Roman" w:cs="Times New Roman"/>
      </w:rPr>
    </w:lvl>
    <w:lvl w:ilvl="8" w:tentative="0">
      <w:start w:val="1"/>
      <w:numFmt w:val="lowerRoman"/>
      <w:lvlText w:val="%9."/>
      <w:lvlJc w:val="right"/>
      <w:pPr>
        <w:tabs>
          <w:tab w:val="left" w:pos="0"/>
        </w:tabs>
        <w:ind w:left="3780" w:hanging="420"/>
      </w:pPr>
      <w:rPr>
        <w:rFonts w:hint="default" w:ascii="Times New Roman" w:hAnsi="Times New Roman" w:cs="Times New Roman"/>
      </w:rPr>
    </w:lvl>
  </w:abstractNum>
  <w:abstractNum w:abstractNumId="6">
    <w:nsid w:val="45981AC5"/>
    <w:multiLevelType w:val="multilevel"/>
    <w:tmpl w:val="45981AC5"/>
    <w:lvl w:ilvl="0" w:tentative="0">
      <w:start w:val="1"/>
      <w:numFmt w:val="decimal"/>
      <w:lvlText w:val="5.2.%1"/>
      <w:lvlJc w:val="left"/>
      <w:pPr>
        <w:tabs>
          <w:tab w:val="left" w:pos="0"/>
        </w:tabs>
        <w:ind w:left="840" w:hanging="420"/>
      </w:pPr>
      <w:rPr>
        <w:rFonts w:hint="default" w:ascii="Times New Roman" w:hAnsi="Times New Roman" w:cs="Times New Roman"/>
      </w:rPr>
    </w:lvl>
    <w:lvl w:ilvl="1" w:tentative="0">
      <w:start w:val="1"/>
      <w:numFmt w:val="lowerLetter"/>
      <w:lvlText w:val="%2)"/>
      <w:lvlJc w:val="left"/>
      <w:pPr>
        <w:tabs>
          <w:tab w:val="left" w:pos="0"/>
        </w:tabs>
        <w:ind w:left="1260" w:hanging="420"/>
      </w:pPr>
      <w:rPr>
        <w:rFonts w:hint="default" w:ascii="Times New Roman" w:hAnsi="Times New Roman" w:cs="Times New Roman"/>
      </w:rPr>
    </w:lvl>
    <w:lvl w:ilvl="2" w:tentative="0">
      <w:start w:val="1"/>
      <w:numFmt w:val="lowerRoman"/>
      <w:lvlText w:val="%3."/>
      <w:lvlJc w:val="right"/>
      <w:pPr>
        <w:tabs>
          <w:tab w:val="left" w:pos="0"/>
        </w:tabs>
        <w:ind w:left="1680" w:hanging="420"/>
      </w:pPr>
      <w:rPr>
        <w:rFonts w:hint="default" w:ascii="Times New Roman" w:hAnsi="Times New Roman" w:cs="Times New Roman"/>
      </w:rPr>
    </w:lvl>
    <w:lvl w:ilvl="3" w:tentative="0">
      <w:start w:val="1"/>
      <w:numFmt w:val="decimal"/>
      <w:lvlText w:val="%4."/>
      <w:lvlJc w:val="left"/>
      <w:pPr>
        <w:tabs>
          <w:tab w:val="left" w:pos="0"/>
        </w:tabs>
        <w:ind w:left="2100" w:hanging="420"/>
      </w:pPr>
      <w:rPr>
        <w:rFonts w:hint="default" w:ascii="Times New Roman" w:hAnsi="Times New Roman" w:cs="Times New Roman"/>
      </w:rPr>
    </w:lvl>
    <w:lvl w:ilvl="4" w:tentative="0">
      <w:start w:val="1"/>
      <w:numFmt w:val="lowerLetter"/>
      <w:lvlText w:val="%5)"/>
      <w:lvlJc w:val="left"/>
      <w:pPr>
        <w:tabs>
          <w:tab w:val="left" w:pos="0"/>
        </w:tabs>
        <w:ind w:left="2520" w:hanging="420"/>
      </w:pPr>
      <w:rPr>
        <w:rFonts w:hint="default" w:ascii="Times New Roman" w:hAnsi="Times New Roman" w:cs="Times New Roman"/>
      </w:rPr>
    </w:lvl>
    <w:lvl w:ilvl="5" w:tentative="0">
      <w:start w:val="1"/>
      <w:numFmt w:val="lowerRoman"/>
      <w:lvlText w:val="%6."/>
      <w:lvlJc w:val="right"/>
      <w:pPr>
        <w:tabs>
          <w:tab w:val="left" w:pos="0"/>
        </w:tabs>
        <w:ind w:left="2940" w:hanging="420"/>
      </w:pPr>
      <w:rPr>
        <w:rFonts w:hint="default" w:ascii="Times New Roman" w:hAnsi="Times New Roman" w:cs="Times New Roman"/>
      </w:rPr>
    </w:lvl>
    <w:lvl w:ilvl="6" w:tentative="0">
      <w:start w:val="1"/>
      <w:numFmt w:val="decimal"/>
      <w:lvlText w:val="%7."/>
      <w:lvlJc w:val="left"/>
      <w:pPr>
        <w:tabs>
          <w:tab w:val="left" w:pos="0"/>
        </w:tabs>
        <w:ind w:left="3360" w:hanging="420"/>
      </w:pPr>
      <w:rPr>
        <w:rFonts w:hint="default" w:ascii="Times New Roman" w:hAnsi="Times New Roman" w:cs="Times New Roman"/>
      </w:rPr>
    </w:lvl>
    <w:lvl w:ilvl="7" w:tentative="0">
      <w:start w:val="1"/>
      <w:numFmt w:val="lowerLetter"/>
      <w:lvlText w:val="%8)"/>
      <w:lvlJc w:val="left"/>
      <w:pPr>
        <w:tabs>
          <w:tab w:val="left" w:pos="0"/>
        </w:tabs>
        <w:ind w:left="3780" w:hanging="420"/>
      </w:pPr>
      <w:rPr>
        <w:rFonts w:hint="default" w:ascii="Times New Roman" w:hAnsi="Times New Roman" w:cs="Times New Roman"/>
      </w:rPr>
    </w:lvl>
    <w:lvl w:ilvl="8" w:tentative="0">
      <w:start w:val="1"/>
      <w:numFmt w:val="lowerRoman"/>
      <w:lvlText w:val="%9."/>
      <w:lvlJc w:val="right"/>
      <w:pPr>
        <w:tabs>
          <w:tab w:val="left" w:pos="0"/>
        </w:tabs>
        <w:ind w:left="4200" w:hanging="420"/>
      </w:pPr>
      <w:rPr>
        <w:rFonts w:hint="default" w:ascii="Times New Roman" w:hAnsi="Times New Roman" w:cs="Times New Roman"/>
      </w:rPr>
    </w:lvl>
  </w:abstractNum>
  <w:abstractNum w:abstractNumId="7">
    <w:nsid w:val="5328701B"/>
    <w:multiLevelType w:val="multilevel"/>
    <w:tmpl w:val="5328701B"/>
    <w:lvl w:ilvl="0" w:tentative="0">
      <w:start w:val="1"/>
      <w:numFmt w:val="decimal"/>
      <w:lvlText w:val="4.%1"/>
      <w:lvlJc w:val="left"/>
      <w:pPr>
        <w:tabs>
          <w:tab w:val="left" w:pos="0"/>
        </w:tabs>
        <w:ind w:left="420" w:hanging="420"/>
      </w:pPr>
      <w:rPr>
        <w:rFonts w:hint="default" w:ascii="Times New Roman" w:hAnsi="Times New Roman" w:cs="Times New Roman"/>
      </w:rPr>
    </w:lvl>
    <w:lvl w:ilvl="1" w:tentative="0">
      <w:start w:val="1"/>
      <w:numFmt w:val="lowerLetter"/>
      <w:lvlText w:val="%2)"/>
      <w:lvlJc w:val="left"/>
      <w:pPr>
        <w:tabs>
          <w:tab w:val="left" w:pos="0"/>
        </w:tabs>
        <w:ind w:left="834" w:hanging="420"/>
      </w:pPr>
      <w:rPr>
        <w:rFonts w:hint="default" w:ascii="Times New Roman" w:hAnsi="Times New Roman" w:cs="Times New Roman"/>
      </w:rPr>
    </w:lvl>
    <w:lvl w:ilvl="2" w:tentative="0">
      <w:start w:val="1"/>
      <w:numFmt w:val="lowerRoman"/>
      <w:lvlText w:val="%3."/>
      <w:lvlJc w:val="right"/>
      <w:pPr>
        <w:tabs>
          <w:tab w:val="left" w:pos="0"/>
        </w:tabs>
        <w:ind w:left="1254" w:hanging="420"/>
      </w:pPr>
      <w:rPr>
        <w:rFonts w:hint="default" w:ascii="Times New Roman" w:hAnsi="Times New Roman" w:cs="Times New Roman"/>
      </w:rPr>
    </w:lvl>
    <w:lvl w:ilvl="3" w:tentative="0">
      <w:start w:val="1"/>
      <w:numFmt w:val="chineseCountingThousand"/>
      <w:lvlText w:val="%4、"/>
      <w:lvlJc w:val="left"/>
      <w:pPr>
        <w:tabs>
          <w:tab w:val="left" w:pos="0"/>
        </w:tabs>
        <w:ind w:left="1674" w:hanging="420"/>
      </w:pPr>
      <w:rPr>
        <w:rFonts w:hint="default" w:ascii="Times New Roman" w:hAnsi="Times New Roman" w:cs="Times New Roman"/>
      </w:rPr>
    </w:lvl>
    <w:lvl w:ilvl="4" w:tentative="0">
      <w:start w:val="1"/>
      <w:numFmt w:val="lowerLetter"/>
      <w:lvlText w:val="%5)"/>
      <w:lvlJc w:val="left"/>
      <w:pPr>
        <w:tabs>
          <w:tab w:val="left" w:pos="0"/>
        </w:tabs>
        <w:ind w:left="2094" w:hanging="420"/>
      </w:pPr>
      <w:rPr>
        <w:rFonts w:hint="default" w:ascii="Times New Roman" w:hAnsi="Times New Roman" w:cs="Times New Roman"/>
      </w:rPr>
    </w:lvl>
    <w:lvl w:ilvl="5" w:tentative="0">
      <w:start w:val="1"/>
      <w:numFmt w:val="lowerRoman"/>
      <w:lvlText w:val="%6."/>
      <w:lvlJc w:val="right"/>
      <w:pPr>
        <w:tabs>
          <w:tab w:val="left" w:pos="0"/>
        </w:tabs>
        <w:ind w:left="2514" w:hanging="420"/>
      </w:pPr>
      <w:rPr>
        <w:rFonts w:hint="default" w:ascii="Times New Roman" w:hAnsi="Times New Roman" w:cs="Times New Roman"/>
      </w:rPr>
    </w:lvl>
    <w:lvl w:ilvl="6" w:tentative="0">
      <w:start w:val="1"/>
      <w:numFmt w:val="decimal"/>
      <w:lvlText w:val="%7."/>
      <w:lvlJc w:val="left"/>
      <w:pPr>
        <w:tabs>
          <w:tab w:val="left" w:pos="0"/>
        </w:tabs>
        <w:ind w:left="2934" w:hanging="420"/>
      </w:pPr>
      <w:rPr>
        <w:rFonts w:hint="default" w:ascii="Times New Roman" w:hAnsi="Times New Roman" w:cs="Times New Roman"/>
      </w:rPr>
    </w:lvl>
    <w:lvl w:ilvl="7" w:tentative="0">
      <w:start w:val="1"/>
      <w:numFmt w:val="lowerLetter"/>
      <w:lvlText w:val="%8)"/>
      <w:lvlJc w:val="left"/>
      <w:pPr>
        <w:tabs>
          <w:tab w:val="left" w:pos="0"/>
        </w:tabs>
        <w:ind w:left="3354" w:hanging="420"/>
      </w:pPr>
      <w:rPr>
        <w:rFonts w:hint="default" w:ascii="Times New Roman" w:hAnsi="Times New Roman" w:cs="Times New Roman"/>
      </w:rPr>
    </w:lvl>
    <w:lvl w:ilvl="8" w:tentative="0">
      <w:start w:val="1"/>
      <w:numFmt w:val="lowerRoman"/>
      <w:lvlText w:val="%9."/>
      <w:lvlJc w:val="right"/>
      <w:pPr>
        <w:tabs>
          <w:tab w:val="left" w:pos="0"/>
        </w:tabs>
        <w:ind w:left="3774" w:hanging="420"/>
      </w:pPr>
      <w:rPr>
        <w:rFonts w:hint="default" w:ascii="Times New Roman" w:hAnsi="Times New Roman"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347B78"/>
    <w:rsid w:val="00037E74"/>
    <w:rsid w:val="021409A3"/>
    <w:rsid w:val="0363790E"/>
    <w:rsid w:val="067C5A84"/>
    <w:rsid w:val="0D452492"/>
    <w:rsid w:val="0EAA3686"/>
    <w:rsid w:val="0F961215"/>
    <w:rsid w:val="160429F3"/>
    <w:rsid w:val="16355245"/>
    <w:rsid w:val="16BA1C1F"/>
    <w:rsid w:val="1E252A4C"/>
    <w:rsid w:val="1E2E20FF"/>
    <w:rsid w:val="269911C4"/>
    <w:rsid w:val="2A651018"/>
    <w:rsid w:val="2DD808C5"/>
    <w:rsid w:val="2E557EFD"/>
    <w:rsid w:val="30A27B38"/>
    <w:rsid w:val="315A1225"/>
    <w:rsid w:val="397E26D1"/>
    <w:rsid w:val="3A101DD7"/>
    <w:rsid w:val="3E347B78"/>
    <w:rsid w:val="43A86F10"/>
    <w:rsid w:val="4BBA4436"/>
    <w:rsid w:val="4D0333AD"/>
    <w:rsid w:val="51A87B22"/>
    <w:rsid w:val="57387378"/>
    <w:rsid w:val="5AF0756D"/>
    <w:rsid w:val="5B02760E"/>
    <w:rsid w:val="5B592483"/>
    <w:rsid w:val="5CE43308"/>
    <w:rsid w:val="5E364D70"/>
    <w:rsid w:val="65720F95"/>
    <w:rsid w:val="65A97358"/>
    <w:rsid w:val="69BE25E3"/>
    <w:rsid w:val="6D8248E6"/>
    <w:rsid w:val="74253A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msolistparagraph"/>
    <w:basedOn w:val="1"/>
    <w:qFormat/>
    <w:uiPriority w:val="0"/>
    <w:pPr>
      <w:ind w:firstLine="420" w:firstLineChars="200"/>
    </w:pPr>
    <w:rPr>
      <w:rFonts w:ascii="Times New Roman" w:hAnsi="Times New Roman"/>
      <w:szCs w:val="21"/>
    </w:rPr>
  </w:style>
  <w:style w:type="paragraph" w:customStyle="1" w:styleId="6">
    <w:name w:val="样式3"/>
    <w:basedOn w:val="1"/>
    <w:qFormat/>
    <w:uiPriority w:val="0"/>
    <w:pPr>
      <w:spacing w:line="600" w:lineRule="exact"/>
      <w:ind w:left="840" w:hanging="420"/>
    </w:pPr>
    <w:rPr>
      <w:rFonts w:ascii="宋体" w:hAnsi="宋体"/>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四川省分公司</Company>
  <Pages>11</Pages>
  <Words>0</Words>
  <Characters>0</Characters>
  <Lines>0</Lines>
  <Paragraphs>0</Paragraphs>
  <TotalTime>2</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2023-07-31T07:42:00Z</dcterms:created>
  <dc:creator>孙建伟</dc:creator>
  <cp:lastModifiedBy> </cp:lastModifiedBy>
  <dcterms:modified xsi:type="dcterms:W3CDTF">2026-07-21T06:39:06Z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5677D3001EDB4106BB1D7161C0F25062</vt:lpwstr>
  </property>
</Properties>
</file>